
<file path=[Content_Types].xml><?xml version="1.0" encoding="utf-8"?>
<Types xmlns="http://schemas.openxmlformats.org/package/2006/content-types">
  <Default Extension="xml" ContentType="application/xml"/>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5" Type="http://schemas.openxmlformats.org/officeDocument/2006/relationships/officeDocument" Target="word/document.xml"/><Relationship Id="rId1" Type="http://schemas.openxmlformats.org/package/2006/relationships/metadata/thumbnail" Target="docProps/thumbnail.emf"/><Relationship Id="rId3" Type="http://schemas.openxmlformats.org/package/2006/relationships/metadata/core-properties" Target="docProps/core.xml"/><Relationship Id="rId2"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60" w:lineRule="exact"/>
        <w:jc w:val="left"/>
        <w:rPr>
          <w:rFonts w:hint="eastAsia" w:ascii="黑体" w:hAnsi="仿宋" w:eastAsia="黑体"/>
          <w:color w:val="000000"/>
          <w:sz w:val="32"/>
          <w:szCs w:val="32"/>
          <w:lang w:val="en-US" w:eastAsia="zh-CN"/>
        </w:rPr>
      </w:pPr>
      <w:r>
        <w:rPr>
          <w:rFonts w:hint="eastAsia" w:ascii="黑体" w:hAnsi="仿宋" w:eastAsia="黑体"/>
          <w:color w:val="000000"/>
          <w:sz w:val="32"/>
          <w:szCs w:val="32"/>
        </w:rPr>
        <w:t>附件</w:t>
      </w:r>
      <w:r>
        <w:rPr>
          <w:rFonts w:hint="eastAsia" w:ascii="黑体" w:hAnsi="仿宋" w:eastAsia="黑体"/>
          <w:color w:val="000000"/>
          <w:sz w:val="32"/>
          <w:szCs w:val="32"/>
          <w:lang w:val="en-US" w:eastAsia="zh-CN"/>
        </w:rPr>
        <w:t>2</w:t>
      </w:r>
    </w:p>
    <w:p>
      <w:pPr>
        <w:spacing w:line="360" w:lineRule="auto"/>
        <w:jc w:val="center"/>
        <w:rPr>
          <w:rFonts w:ascii="Times New Roman" w:hAnsi="Times New Roman" w:eastAsia="仿宋_GB2312"/>
          <w:bCs/>
          <w:color w:val="000000"/>
          <w:sz w:val="52"/>
          <w:szCs w:val="52"/>
        </w:rPr>
      </w:pPr>
    </w:p>
    <w:p>
      <w:pPr>
        <w:spacing w:line="360" w:lineRule="auto"/>
        <w:jc w:val="center"/>
        <w:rPr>
          <w:rFonts w:ascii="Times New Roman" w:hAnsi="Times New Roman" w:eastAsia="仿宋_GB2312"/>
          <w:bCs/>
          <w:color w:val="000000"/>
          <w:sz w:val="52"/>
          <w:szCs w:val="52"/>
        </w:rPr>
      </w:pPr>
    </w:p>
    <w:p>
      <w:pPr>
        <w:spacing w:line="800" w:lineRule="exact"/>
        <w:jc w:val="center"/>
        <w:rPr>
          <w:rFonts w:ascii="黑体" w:hAnsi="黑体" w:eastAsia="黑体"/>
          <w:sz w:val="44"/>
          <w:szCs w:val="44"/>
        </w:rPr>
      </w:pPr>
      <w:bookmarkStart w:id="0" w:name="_Hlk47448541"/>
      <w:r>
        <w:rPr>
          <w:rFonts w:hint="eastAsia" w:ascii="黑体" w:hAnsi="黑体" w:eastAsia="黑体"/>
          <w:sz w:val="44"/>
          <w:szCs w:val="44"/>
        </w:rPr>
        <w:t>大连市绿色园区</w:t>
      </w:r>
    </w:p>
    <w:p>
      <w:pPr>
        <w:spacing w:line="800" w:lineRule="exact"/>
        <w:jc w:val="center"/>
        <w:rPr>
          <w:rFonts w:ascii="创艺简标宋" w:hAnsi="方正小标宋简体" w:eastAsia="创艺简标宋"/>
          <w:bCs/>
          <w:color w:val="000000"/>
          <w:sz w:val="44"/>
          <w:szCs w:val="44"/>
        </w:rPr>
      </w:pPr>
    </w:p>
    <w:p>
      <w:pPr>
        <w:spacing w:line="500" w:lineRule="atLeast"/>
        <w:jc w:val="center"/>
        <w:rPr>
          <w:rFonts w:ascii="黑体" w:hAnsi="黑体" w:eastAsia="黑体"/>
          <w:bCs/>
          <w:sz w:val="84"/>
          <w:szCs w:val="84"/>
        </w:rPr>
      </w:pPr>
      <w:r>
        <w:rPr>
          <w:rFonts w:hint="eastAsia" w:ascii="黑体" w:hAnsi="黑体" w:eastAsia="黑体"/>
          <w:bCs/>
          <w:sz w:val="84"/>
          <w:szCs w:val="84"/>
        </w:rPr>
        <w:t>自评价报告</w:t>
      </w:r>
    </w:p>
    <w:p>
      <w:pPr>
        <w:spacing w:line="600" w:lineRule="exact"/>
        <w:jc w:val="both"/>
        <w:rPr>
          <w:rFonts w:ascii="Times New Roman" w:hAnsi="Times New Roman" w:eastAsia="仿宋_GB2312"/>
          <w:color w:val="000000"/>
          <w:sz w:val="32"/>
          <w:szCs w:val="32"/>
        </w:rPr>
      </w:pPr>
    </w:p>
    <w:p>
      <w:pPr>
        <w:spacing w:line="600" w:lineRule="exact"/>
        <w:jc w:val="center"/>
        <w:rPr>
          <w:rFonts w:ascii="Times New Roman" w:hAnsi="Times New Roman" w:eastAsia="仿宋_GB2312"/>
          <w:color w:val="000000"/>
          <w:sz w:val="32"/>
          <w:szCs w:val="32"/>
        </w:rPr>
      </w:pPr>
    </w:p>
    <w:p>
      <w:pPr>
        <w:spacing w:line="70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园区名称</w:t>
      </w:r>
      <w:r>
        <w:rPr>
          <w:rFonts w:ascii="Times New Roman" w:hAnsi="Times New Roman" w:eastAsia="仿宋_GB2312"/>
          <w:color w:val="000000"/>
          <w:sz w:val="32"/>
          <w:szCs w:val="32"/>
        </w:rPr>
        <w:t>：</w:t>
      </w:r>
      <w:r>
        <w:rPr>
          <w:rFonts w:ascii="Times New Roman" w:hAnsi="Times New Roman" w:eastAsia="仿宋_GB2312"/>
          <w:color w:val="000000"/>
          <w:sz w:val="32"/>
          <w:szCs w:val="32"/>
          <w:u w:val="single"/>
        </w:rPr>
        <w:t xml:space="preserve">                            </w:t>
      </w:r>
      <w:bookmarkStart w:id="1" w:name="_GoBack"/>
      <w:bookmarkEnd w:id="1"/>
      <w:r>
        <w:rPr>
          <w:rFonts w:ascii="Times New Roman" w:hAnsi="Times New Roman" w:eastAsia="仿宋_GB2312"/>
          <w:color w:val="000000"/>
          <w:sz w:val="32"/>
          <w:szCs w:val="32"/>
          <w:u w:val="single"/>
        </w:rPr>
        <w:t xml:space="preserve">        </w:t>
      </w:r>
    </w:p>
    <w:p>
      <w:pPr>
        <w:spacing w:line="700" w:lineRule="exact"/>
        <w:ind w:firstLine="640" w:firstLineChars="200"/>
        <w:jc w:val="left"/>
        <w:rPr>
          <w:rFonts w:ascii="Times New Roman" w:hAnsi="Times New Roman" w:eastAsia="仿宋_GB2312"/>
          <w:color w:val="000000"/>
          <w:sz w:val="32"/>
          <w:szCs w:val="32"/>
        </w:rPr>
      </w:pPr>
      <w:r>
        <w:rPr>
          <w:rFonts w:hint="eastAsia" w:ascii="Times New Roman" w:hAnsi="Times New Roman" w:eastAsia="仿宋_GB2312"/>
          <w:color w:val="000000"/>
          <w:sz w:val="32"/>
          <w:szCs w:val="32"/>
        </w:rPr>
        <w:t>园区</w:t>
      </w:r>
      <w:r>
        <w:rPr>
          <w:rFonts w:ascii="Times New Roman" w:hAnsi="Times New Roman" w:eastAsia="仿宋_GB2312"/>
          <w:color w:val="000000"/>
          <w:sz w:val="32"/>
          <w:szCs w:val="32"/>
        </w:rPr>
        <w:t>地址：</w:t>
      </w:r>
      <w:r>
        <w:rPr>
          <w:rFonts w:ascii="Times New Roman" w:hAnsi="Times New Roman" w:eastAsia="仿宋_GB2312"/>
          <w:color w:val="000000"/>
          <w:sz w:val="32"/>
          <w:szCs w:val="32"/>
          <w:u w:val="single"/>
        </w:rPr>
        <w:t xml:space="preserve">                                    </w:t>
      </w:r>
    </w:p>
    <w:p>
      <w:pPr>
        <w:spacing w:line="70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联</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系</w:t>
      </w:r>
      <w:r>
        <w:rPr>
          <w:rFonts w:hint="eastAsia" w:ascii="Times New Roman" w:hAnsi="Times New Roman" w:eastAsia="仿宋_GB2312"/>
          <w:color w:val="000000"/>
          <w:sz w:val="32"/>
          <w:szCs w:val="32"/>
        </w:rPr>
        <w:t xml:space="preserve"> </w:t>
      </w:r>
      <w:r>
        <w:rPr>
          <w:rFonts w:ascii="Times New Roman" w:hAnsi="Times New Roman" w:eastAsia="仿宋_GB2312"/>
          <w:color w:val="000000"/>
          <w:sz w:val="32"/>
          <w:szCs w:val="32"/>
        </w:rPr>
        <w:t>人：</w:t>
      </w:r>
      <w:bookmarkEnd w:id="0"/>
      <w:r>
        <w:rPr>
          <w:rFonts w:ascii="Times New Roman" w:hAnsi="Times New Roman" w:eastAsia="仿宋_GB2312"/>
          <w:color w:val="000000"/>
          <w:sz w:val="32"/>
          <w:szCs w:val="32"/>
          <w:u w:val="single"/>
        </w:rPr>
        <w:t xml:space="preserve">                                    </w:t>
      </w:r>
    </w:p>
    <w:p>
      <w:pPr>
        <w:spacing w:line="700" w:lineRule="exact"/>
        <w:ind w:firstLine="640" w:firstLineChars="200"/>
        <w:jc w:val="left"/>
        <w:rPr>
          <w:rFonts w:ascii="Times New Roman" w:hAnsi="Times New Roman" w:eastAsia="仿宋_GB2312"/>
          <w:color w:val="000000"/>
          <w:sz w:val="32"/>
          <w:szCs w:val="32"/>
        </w:rPr>
      </w:pPr>
      <w:r>
        <w:rPr>
          <w:rFonts w:ascii="Times New Roman" w:hAnsi="Times New Roman" w:eastAsia="仿宋_GB2312"/>
          <w:color w:val="000000"/>
          <w:sz w:val="32"/>
          <w:szCs w:val="32"/>
        </w:rPr>
        <w:t>联系电话：</w:t>
      </w:r>
      <w:r>
        <w:rPr>
          <w:rFonts w:ascii="Times New Roman" w:hAnsi="Times New Roman" w:eastAsia="仿宋_GB2312"/>
          <w:color w:val="000000"/>
          <w:sz w:val="32"/>
          <w:szCs w:val="32"/>
          <w:u w:val="single"/>
        </w:rPr>
        <w:t xml:space="preserve"> </w:t>
      </w:r>
      <w:r>
        <w:rPr>
          <w:rFonts w:hint="eastAsia" w:ascii="Times New Roman" w:hAnsi="Times New Roman" w:eastAsia="仿宋_GB2312"/>
          <w:color w:val="000000"/>
          <w:sz w:val="32"/>
          <w:szCs w:val="32"/>
          <w:u w:val="single"/>
        </w:rPr>
        <w:t xml:space="preserve">                    </w:t>
      </w:r>
      <w:r>
        <w:rPr>
          <w:rFonts w:ascii="Times New Roman" w:hAnsi="Times New Roman" w:eastAsia="仿宋_GB2312"/>
          <w:color w:val="000000"/>
          <w:sz w:val="32"/>
          <w:szCs w:val="32"/>
          <w:u w:val="single"/>
        </w:rPr>
        <w:t xml:space="preserve">               </w:t>
      </w:r>
    </w:p>
    <w:p>
      <w:pPr>
        <w:spacing w:line="800" w:lineRule="exact"/>
        <w:rPr>
          <w:rFonts w:ascii="Times New Roman" w:hAnsi="Times New Roman" w:eastAsia="仿宋_GB2312"/>
          <w:bCs/>
          <w:color w:val="000000"/>
          <w:sz w:val="32"/>
          <w:szCs w:val="32"/>
        </w:rPr>
      </w:pPr>
    </w:p>
    <w:p>
      <w:pPr>
        <w:widowControl/>
        <w:spacing w:line="360" w:lineRule="auto"/>
        <w:jc w:val="left"/>
        <w:rPr>
          <w:rFonts w:ascii="楷体_GB2312" w:hAnsi="Times New Roman" w:eastAsia="楷体_GB2312"/>
          <w:b/>
          <w:color w:val="000000"/>
          <w:sz w:val="30"/>
        </w:rPr>
      </w:pPr>
    </w:p>
    <w:p>
      <w:pPr>
        <w:widowControl/>
        <w:spacing w:line="360" w:lineRule="auto"/>
        <w:jc w:val="left"/>
        <w:rPr>
          <w:rFonts w:ascii="楷体_GB2312" w:hAnsi="Times New Roman" w:eastAsia="楷体_GB2312"/>
          <w:b/>
          <w:color w:val="000000"/>
          <w:sz w:val="30"/>
        </w:rPr>
      </w:pPr>
    </w:p>
    <w:p>
      <w:pPr>
        <w:widowControl/>
        <w:spacing w:line="360" w:lineRule="auto"/>
        <w:jc w:val="center"/>
        <w:rPr>
          <w:rFonts w:ascii="Times New Roman" w:hAnsi="Times New Roman" w:eastAsia="仿宋"/>
          <w:sz w:val="32"/>
          <w:szCs w:val="32"/>
        </w:rPr>
      </w:pPr>
      <w:r>
        <w:rPr>
          <w:rFonts w:hint="eastAsia" w:ascii="Times New Roman" w:hAnsi="Times New Roman" w:eastAsia="仿宋"/>
          <w:sz w:val="32"/>
          <w:szCs w:val="32"/>
        </w:rPr>
        <w:t>大连市工业和信息化局制</w:t>
      </w:r>
    </w:p>
    <w:p>
      <w:pPr>
        <w:widowControl/>
        <w:spacing w:line="360" w:lineRule="auto"/>
        <w:jc w:val="center"/>
        <w:rPr>
          <w:rFonts w:ascii="Times New Roman" w:hAnsi="Times New Roman" w:eastAsia="仿宋"/>
          <w:sz w:val="32"/>
          <w:szCs w:val="32"/>
        </w:rPr>
      </w:pPr>
      <w:r>
        <w:rPr>
          <w:rFonts w:hint="eastAsia" w:ascii="Times New Roman" w:hAnsi="Times New Roman" w:eastAsia="仿宋"/>
          <w:sz w:val="32"/>
          <w:szCs w:val="32"/>
        </w:rPr>
        <w:t>20  年  月  日</w:t>
      </w:r>
    </w:p>
    <w:p>
      <w:pPr>
        <w:widowControl/>
        <w:spacing w:line="360" w:lineRule="auto"/>
        <w:jc w:val="center"/>
        <w:rPr>
          <w:rFonts w:ascii="楷体_GB2312" w:hAnsi="Times New Roman" w:eastAsia="楷体_GB2312"/>
          <w:bCs/>
          <w:color w:val="000000"/>
          <w:sz w:val="30"/>
        </w:rPr>
        <w:sectPr>
          <w:pgSz w:w="11906" w:h="16838"/>
          <w:pgMar w:top="2098" w:right="1474" w:bottom="1814" w:left="1588" w:header="851" w:footer="992" w:gutter="0"/>
          <w:cols w:space="720" w:num="1"/>
          <w:docGrid w:type="lines" w:linePitch="312" w:charSpace="0"/>
        </w:sectPr>
      </w:pPr>
    </w:p>
    <w:p>
      <w:pPr>
        <w:pStyle w:val="4"/>
        <w:widowControl/>
        <w:shd w:val="clear" w:color="auto" w:fill="FFFFFF"/>
        <w:spacing w:before="0" w:beforeAutospacing="0" w:after="0" w:afterAutospacing="0"/>
        <w:jc w:val="center"/>
        <w:outlineLvl w:val="0"/>
        <w:rPr>
          <w:rFonts w:ascii="仿宋" w:hAnsi="仿宋" w:eastAsia="仿宋" w:cs="Helvetica Neue"/>
          <w:color w:val="000000"/>
        </w:rPr>
      </w:pPr>
      <w:r>
        <w:rPr>
          <w:rFonts w:hint="eastAsia" w:ascii="黑体" w:hAnsi="黑体" w:eastAsia="黑体"/>
          <w:color w:val="000000"/>
          <w:sz w:val="32"/>
          <w:szCs w:val="32"/>
        </w:rPr>
        <w:t>一、</w:t>
      </w:r>
      <w:r>
        <w:rPr>
          <w:rFonts w:ascii="黑体" w:hAnsi="黑体" w:eastAsia="黑体"/>
          <w:color w:val="000000"/>
          <w:sz w:val="32"/>
          <w:szCs w:val="32"/>
        </w:rPr>
        <w:t>基本信息表</w:t>
      </w:r>
    </w:p>
    <w:tbl>
      <w:tblPr>
        <w:tblStyle w:val="5"/>
        <w:tblpPr w:leftFromText="180" w:rightFromText="180" w:vertAnchor="text" w:horzAnchor="margin" w:tblpXSpec="center" w:tblpY="127"/>
        <w:tblW w:w="9036" w:type="dxa"/>
        <w:jc w:val="center"/>
        <w:tblLayout w:type="fixed"/>
        <w:tblCellMar>
          <w:top w:w="0" w:type="dxa"/>
          <w:left w:w="0" w:type="dxa"/>
          <w:bottom w:w="0" w:type="dxa"/>
          <w:right w:w="0" w:type="dxa"/>
        </w:tblCellMar>
      </w:tblPr>
      <w:tblGrid>
        <w:gridCol w:w="1806"/>
        <w:gridCol w:w="1276"/>
        <w:gridCol w:w="1418"/>
        <w:gridCol w:w="850"/>
        <w:gridCol w:w="327"/>
        <w:gridCol w:w="1138"/>
        <w:gridCol w:w="2221"/>
      </w:tblGrid>
      <w:tr>
        <w:tblPrEx>
          <w:tblCellMar>
            <w:top w:w="0" w:type="dxa"/>
            <w:left w:w="0" w:type="dxa"/>
            <w:bottom w:w="0" w:type="dxa"/>
            <w:right w:w="0" w:type="dxa"/>
          </w:tblCellMar>
        </w:tblPrEx>
        <w:trPr>
          <w:cantSplit/>
          <w:trHeight w:val="567" w:hRule="atLeast"/>
          <w:jc w:val="center"/>
        </w:trPr>
        <w:tc>
          <w:tcPr>
            <w:tcW w:w="18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widowControl/>
              <w:adjustRightInd w:val="0"/>
              <w:snapToGrid w:val="0"/>
              <w:spacing w:before="0" w:beforeAutospacing="0" w:after="0" w:afterAutospacing="0"/>
              <w:jc w:val="center"/>
              <w:rPr>
                <w:rFonts w:ascii="Times New Roman" w:hAnsi="Times New Roman" w:eastAsia="仿宋"/>
                <w:color w:val="000000"/>
              </w:rPr>
            </w:pPr>
            <w:r>
              <w:rPr>
                <w:rFonts w:hint="eastAsia" w:ascii="Times New Roman" w:hAnsi="Times New Roman" w:eastAsia="仿宋" w:cs="宋体"/>
                <w:color w:val="000000"/>
              </w:rPr>
              <w:t>园区名称</w:t>
            </w:r>
          </w:p>
        </w:tc>
        <w:tc>
          <w:tcPr>
            <w:tcW w:w="7230" w:type="dxa"/>
            <w:gridSpan w:val="6"/>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widowControl/>
              <w:adjustRightInd w:val="0"/>
              <w:snapToGrid w:val="0"/>
              <w:jc w:val="center"/>
              <w:rPr>
                <w:rFonts w:ascii="Times New Roman" w:hAnsi="Times New Roman" w:eastAsia="仿宋" w:cs="Helvetica Neue"/>
                <w:color w:val="000000"/>
                <w:sz w:val="24"/>
                <w:szCs w:val="24"/>
              </w:rPr>
            </w:pPr>
          </w:p>
        </w:tc>
      </w:tr>
      <w:tr>
        <w:tblPrEx>
          <w:tblCellMar>
            <w:top w:w="0" w:type="dxa"/>
            <w:left w:w="0" w:type="dxa"/>
            <w:bottom w:w="0" w:type="dxa"/>
            <w:right w:w="0" w:type="dxa"/>
          </w:tblCellMar>
        </w:tblPrEx>
        <w:trPr>
          <w:cantSplit/>
          <w:trHeight w:val="567" w:hRule="atLeast"/>
          <w:jc w:val="center"/>
        </w:trPr>
        <w:tc>
          <w:tcPr>
            <w:tcW w:w="18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adjustRightInd w:val="0"/>
              <w:snapToGrid w:val="0"/>
              <w:jc w:val="center"/>
              <w:rPr>
                <w:rFonts w:ascii="Times New Roman" w:hAnsi="Times New Roman" w:eastAsia="仿宋" w:cs="??_GB2312"/>
                <w:color w:val="000000"/>
                <w:sz w:val="24"/>
                <w:szCs w:val="24"/>
              </w:rPr>
            </w:pPr>
            <w:r>
              <w:rPr>
                <w:rFonts w:hint="eastAsia" w:ascii="Times New Roman" w:hAnsi="Times New Roman" w:eastAsia="仿宋" w:cs="宋体"/>
                <w:color w:val="000000"/>
                <w:sz w:val="24"/>
                <w:szCs w:val="24"/>
              </w:rPr>
              <w:t>园区级别</w:t>
            </w:r>
          </w:p>
        </w:tc>
        <w:tc>
          <w:tcPr>
            <w:tcW w:w="3544" w:type="dxa"/>
            <w:gridSpan w:val="3"/>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10"/>
              <w:numPr>
                <w:ilvl w:val="255"/>
                <w:numId w:val="0"/>
              </w:numPr>
              <w:adjustRightInd w:val="0"/>
              <w:snapToGrid w:val="0"/>
              <w:rPr>
                <w:rFonts w:ascii="Times New Roman" w:hAnsi="Times New Roman" w:eastAsia="仿宋" w:cs="??_GB2312"/>
                <w:color w:val="000000"/>
                <w:sz w:val="24"/>
                <w:szCs w:val="24"/>
              </w:rPr>
            </w:pPr>
            <w:r>
              <w:rPr>
                <w:rFonts w:hint="eastAsia" w:ascii="Times New Roman" w:hAnsi="Times New Roman" w:eastAsia="仿宋" w:cs="??_GB2312"/>
                <w:color w:val="000000"/>
                <w:sz w:val="24"/>
                <w:szCs w:val="24"/>
              </w:rPr>
              <w:t xml:space="preserve">□ </w:t>
            </w:r>
            <w:r>
              <w:rPr>
                <w:rFonts w:hint="eastAsia" w:ascii="Times New Roman" w:hAnsi="Times New Roman" w:eastAsia="仿宋" w:cs="宋体"/>
                <w:color w:val="000000"/>
                <w:sz w:val="24"/>
                <w:szCs w:val="24"/>
              </w:rPr>
              <w:t xml:space="preserve">国家级 </w:t>
            </w:r>
            <w:r>
              <w:rPr>
                <w:rFonts w:hint="eastAsia" w:ascii="Times New Roman" w:hAnsi="Times New Roman" w:eastAsia="仿宋" w:cs="??_GB2312"/>
                <w:color w:val="000000"/>
                <w:sz w:val="24"/>
                <w:szCs w:val="24"/>
              </w:rPr>
              <w:t xml:space="preserve">□ </w:t>
            </w:r>
            <w:r>
              <w:rPr>
                <w:rFonts w:hint="eastAsia" w:ascii="Times New Roman" w:hAnsi="Times New Roman" w:eastAsia="仿宋" w:cs="宋体"/>
                <w:color w:val="000000"/>
                <w:sz w:val="24"/>
                <w:szCs w:val="24"/>
              </w:rPr>
              <w:t xml:space="preserve">省级 </w:t>
            </w:r>
            <w:r>
              <w:rPr>
                <w:rFonts w:hint="eastAsia" w:ascii="Times New Roman" w:hAnsi="Times New Roman" w:eastAsia="仿宋" w:cs="??_GB2312"/>
                <w:color w:val="000000"/>
                <w:sz w:val="24"/>
                <w:szCs w:val="24"/>
              </w:rPr>
              <w:sym w:font="Wingdings 2" w:char="00A3"/>
            </w:r>
            <w:r>
              <w:rPr>
                <w:rFonts w:ascii="Times New Roman" w:hAnsi="Times New Roman" w:eastAsia="仿宋" w:cs="??_GB2312"/>
                <w:color w:val="000000"/>
                <w:sz w:val="24"/>
                <w:szCs w:val="24"/>
              </w:rPr>
              <w:t xml:space="preserve"> </w:t>
            </w:r>
            <w:r>
              <w:rPr>
                <w:rFonts w:hint="eastAsia" w:ascii="Times New Roman" w:hAnsi="Times New Roman" w:eastAsia="仿宋" w:cs="??_GB2312"/>
                <w:color w:val="000000"/>
                <w:sz w:val="24"/>
                <w:szCs w:val="24"/>
              </w:rPr>
              <w:t>市级</w:t>
            </w:r>
          </w:p>
        </w:tc>
        <w:tc>
          <w:tcPr>
            <w:tcW w:w="1465"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adjustRightInd w:val="0"/>
              <w:snapToGrid w:val="0"/>
              <w:jc w:val="center"/>
              <w:rPr>
                <w:rFonts w:ascii="Times New Roman" w:hAnsi="Times New Roman" w:eastAsia="仿宋" w:cs="??_GB2312"/>
                <w:color w:val="000000"/>
                <w:sz w:val="24"/>
                <w:szCs w:val="24"/>
              </w:rPr>
            </w:pPr>
            <w:r>
              <w:rPr>
                <w:rFonts w:hint="eastAsia" w:ascii="Times New Roman" w:hAnsi="Times New Roman" w:eastAsia="仿宋" w:cs="宋体"/>
                <w:color w:val="000000"/>
                <w:sz w:val="24"/>
                <w:szCs w:val="24"/>
              </w:rPr>
              <w:t>园区类型</w:t>
            </w:r>
          </w:p>
        </w:tc>
        <w:tc>
          <w:tcPr>
            <w:tcW w:w="2221"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adjustRightInd w:val="0"/>
              <w:snapToGrid w:val="0"/>
              <w:jc w:val="center"/>
              <w:rPr>
                <w:rFonts w:ascii="Times New Roman" w:hAnsi="Times New Roman" w:eastAsia="仿宋" w:cs="??_GB2312"/>
                <w:color w:val="000000"/>
                <w:sz w:val="24"/>
                <w:szCs w:val="24"/>
              </w:rPr>
            </w:pPr>
          </w:p>
        </w:tc>
      </w:tr>
      <w:tr>
        <w:tblPrEx>
          <w:tblCellMar>
            <w:top w:w="0" w:type="dxa"/>
            <w:left w:w="0" w:type="dxa"/>
            <w:bottom w:w="0" w:type="dxa"/>
            <w:right w:w="0" w:type="dxa"/>
          </w:tblCellMar>
        </w:tblPrEx>
        <w:trPr>
          <w:cantSplit/>
          <w:trHeight w:val="567" w:hRule="atLeast"/>
          <w:jc w:val="center"/>
        </w:trPr>
        <w:tc>
          <w:tcPr>
            <w:tcW w:w="18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adjustRightInd w:val="0"/>
              <w:snapToGrid w:val="0"/>
              <w:jc w:val="center"/>
              <w:rPr>
                <w:rFonts w:ascii="Times New Roman" w:hAnsi="Times New Roman" w:eastAsia="仿宋" w:cs="??_GB2312"/>
                <w:color w:val="000000"/>
                <w:sz w:val="24"/>
                <w:szCs w:val="24"/>
              </w:rPr>
            </w:pPr>
            <w:r>
              <w:rPr>
                <w:rFonts w:hint="eastAsia" w:ascii="Times New Roman" w:hAnsi="Times New Roman" w:eastAsia="仿宋" w:cs="宋体"/>
                <w:color w:val="000000"/>
                <w:kern w:val="0"/>
                <w:sz w:val="24"/>
                <w:szCs w:val="24"/>
              </w:rPr>
              <w:t>通讯地址/邮编</w:t>
            </w:r>
          </w:p>
        </w:tc>
        <w:tc>
          <w:tcPr>
            <w:tcW w:w="7230" w:type="dxa"/>
            <w:gridSpan w:val="6"/>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adjustRightInd w:val="0"/>
              <w:snapToGrid w:val="0"/>
              <w:jc w:val="center"/>
              <w:rPr>
                <w:rFonts w:ascii="Times New Roman" w:hAnsi="Times New Roman" w:eastAsia="仿宋" w:cs="??_GB2312"/>
                <w:color w:val="000000"/>
                <w:sz w:val="24"/>
                <w:szCs w:val="24"/>
              </w:rPr>
            </w:pPr>
          </w:p>
        </w:tc>
      </w:tr>
      <w:tr>
        <w:tblPrEx>
          <w:tblCellMar>
            <w:top w:w="0" w:type="dxa"/>
            <w:left w:w="0" w:type="dxa"/>
            <w:bottom w:w="0" w:type="dxa"/>
            <w:right w:w="0" w:type="dxa"/>
          </w:tblCellMar>
        </w:tblPrEx>
        <w:trPr>
          <w:cantSplit/>
          <w:trHeight w:val="567" w:hRule="atLeast"/>
          <w:jc w:val="center"/>
        </w:trPr>
        <w:tc>
          <w:tcPr>
            <w:tcW w:w="180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widowControl/>
              <w:adjustRightInd w:val="0"/>
              <w:snapToGrid w:val="0"/>
              <w:spacing w:before="0" w:beforeAutospacing="0" w:after="0" w:afterAutospacing="0"/>
              <w:jc w:val="center"/>
              <w:rPr>
                <w:rFonts w:ascii="Times New Roman" w:hAnsi="Times New Roman" w:eastAsia="仿宋"/>
                <w:color w:val="000000"/>
              </w:rPr>
            </w:pPr>
            <w:r>
              <w:rPr>
                <w:rFonts w:hint="eastAsia" w:ascii="Times New Roman" w:hAnsi="Times New Roman" w:eastAsia="仿宋" w:cs="宋体"/>
                <w:color w:val="000000"/>
              </w:rPr>
              <w:t>园区负责人</w:t>
            </w:r>
          </w:p>
        </w:tc>
        <w:tc>
          <w:tcPr>
            <w:tcW w:w="127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widowControl/>
              <w:adjustRightInd w:val="0"/>
              <w:snapToGrid w:val="0"/>
              <w:spacing w:before="0" w:beforeAutospacing="0" w:after="0" w:afterAutospacing="0"/>
              <w:jc w:val="center"/>
              <w:rPr>
                <w:rFonts w:ascii="Times New Roman" w:hAnsi="Times New Roman" w:eastAsia="仿宋"/>
                <w:color w:val="000000"/>
              </w:rPr>
            </w:pPr>
            <w:r>
              <w:rPr>
                <w:rFonts w:hint="eastAsia" w:ascii="Times New Roman" w:hAnsi="Times New Roman" w:eastAsia="仿宋" w:cs="宋体"/>
                <w:color w:val="000000"/>
              </w:rPr>
              <w:t>姓名</w:t>
            </w:r>
          </w:p>
        </w:tc>
        <w:tc>
          <w:tcPr>
            <w:tcW w:w="141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widowControl/>
              <w:adjustRightInd w:val="0"/>
              <w:snapToGrid w:val="0"/>
              <w:jc w:val="center"/>
              <w:rPr>
                <w:rFonts w:ascii="Times New Roman" w:hAnsi="Times New Roman" w:eastAsia="仿宋" w:cs="Helvetica Neue"/>
                <w:color w:val="000000"/>
                <w:sz w:val="24"/>
                <w:szCs w:val="24"/>
              </w:rPr>
            </w:pPr>
          </w:p>
        </w:tc>
        <w:tc>
          <w:tcPr>
            <w:tcW w:w="1177"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widowControl/>
              <w:adjustRightInd w:val="0"/>
              <w:snapToGrid w:val="0"/>
              <w:spacing w:before="0" w:beforeAutospacing="0" w:after="0" w:afterAutospacing="0"/>
              <w:jc w:val="center"/>
              <w:rPr>
                <w:rFonts w:ascii="Times New Roman" w:hAnsi="Times New Roman" w:eastAsia="仿宋"/>
                <w:color w:val="000000"/>
              </w:rPr>
            </w:pPr>
            <w:r>
              <w:rPr>
                <w:rFonts w:hint="eastAsia" w:ascii="Times New Roman" w:hAnsi="Times New Roman" w:eastAsia="仿宋" w:cs="宋体"/>
                <w:color w:val="000000"/>
              </w:rPr>
              <w:t>职务</w:t>
            </w:r>
          </w:p>
        </w:tc>
        <w:tc>
          <w:tcPr>
            <w:tcW w:w="3359"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widowControl/>
              <w:adjustRightInd w:val="0"/>
              <w:snapToGrid w:val="0"/>
              <w:jc w:val="center"/>
              <w:rPr>
                <w:rFonts w:ascii="Times New Roman" w:hAnsi="Times New Roman" w:eastAsia="仿宋" w:cs="Helvetica Neue"/>
                <w:color w:val="000000"/>
                <w:sz w:val="24"/>
                <w:szCs w:val="24"/>
              </w:rPr>
            </w:pPr>
          </w:p>
        </w:tc>
      </w:tr>
      <w:tr>
        <w:tblPrEx>
          <w:tblCellMar>
            <w:top w:w="0" w:type="dxa"/>
            <w:left w:w="0" w:type="dxa"/>
            <w:bottom w:w="0" w:type="dxa"/>
            <w:right w:w="0" w:type="dxa"/>
          </w:tblCellMar>
        </w:tblPrEx>
        <w:trPr>
          <w:cantSplit/>
          <w:trHeight w:val="567" w:hRule="atLeast"/>
          <w:jc w:val="center"/>
        </w:trPr>
        <w:tc>
          <w:tcPr>
            <w:tcW w:w="180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widowControl/>
              <w:adjustRightInd w:val="0"/>
              <w:snapToGrid w:val="0"/>
              <w:spacing w:before="0" w:beforeAutospacing="0" w:after="0" w:afterAutospacing="0"/>
              <w:jc w:val="center"/>
              <w:rPr>
                <w:rFonts w:ascii="Times New Roman" w:hAnsi="Times New Roman" w:eastAsia="仿宋" w:cs="宋体"/>
                <w:color w:val="000000"/>
              </w:rPr>
            </w:pPr>
          </w:p>
        </w:tc>
        <w:tc>
          <w:tcPr>
            <w:tcW w:w="127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widowControl/>
              <w:adjustRightInd w:val="0"/>
              <w:snapToGrid w:val="0"/>
              <w:spacing w:before="0" w:beforeAutospacing="0" w:after="0" w:afterAutospacing="0"/>
              <w:jc w:val="center"/>
              <w:rPr>
                <w:rFonts w:ascii="Times New Roman" w:hAnsi="Times New Roman" w:eastAsia="仿宋" w:cs="宋体"/>
                <w:color w:val="000000"/>
              </w:rPr>
            </w:pPr>
            <w:r>
              <w:rPr>
                <w:rFonts w:hint="eastAsia" w:ascii="Times New Roman" w:hAnsi="Times New Roman" w:eastAsia="仿宋" w:cs="宋体"/>
                <w:color w:val="000000"/>
              </w:rPr>
              <w:t>联系电话</w:t>
            </w:r>
          </w:p>
        </w:tc>
        <w:tc>
          <w:tcPr>
            <w:tcW w:w="1418" w:type="dxa"/>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widowControl/>
              <w:adjustRightInd w:val="0"/>
              <w:snapToGrid w:val="0"/>
              <w:jc w:val="center"/>
              <w:rPr>
                <w:rFonts w:ascii="Times New Roman" w:hAnsi="Times New Roman" w:eastAsia="仿宋" w:cs="Helvetica Neue"/>
                <w:color w:val="000000"/>
                <w:sz w:val="24"/>
                <w:szCs w:val="24"/>
              </w:rPr>
            </w:pPr>
          </w:p>
        </w:tc>
        <w:tc>
          <w:tcPr>
            <w:tcW w:w="1177"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pStyle w:val="4"/>
              <w:widowControl/>
              <w:adjustRightInd w:val="0"/>
              <w:snapToGrid w:val="0"/>
              <w:spacing w:before="0" w:beforeAutospacing="0" w:after="0" w:afterAutospacing="0"/>
              <w:jc w:val="center"/>
              <w:rPr>
                <w:rFonts w:ascii="Times New Roman" w:hAnsi="Times New Roman" w:eastAsia="仿宋" w:cs="宋体"/>
                <w:color w:val="000000"/>
              </w:rPr>
            </w:pPr>
            <w:r>
              <w:rPr>
                <w:rFonts w:hint="eastAsia" w:ascii="Times New Roman" w:hAnsi="Times New Roman" w:eastAsia="仿宋" w:cs="宋体"/>
                <w:color w:val="000000"/>
              </w:rPr>
              <w:t>手机号码</w:t>
            </w:r>
          </w:p>
        </w:tc>
        <w:tc>
          <w:tcPr>
            <w:tcW w:w="3359" w:type="dxa"/>
            <w:gridSpan w:val="2"/>
            <w:tcBorders>
              <w:top w:val="single" w:color="auto" w:sz="6" w:space="0"/>
              <w:left w:val="nil"/>
              <w:bottom w:val="single" w:color="auto" w:sz="6" w:space="0"/>
              <w:right w:val="single" w:color="auto" w:sz="6" w:space="0"/>
            </w:tcBorders>
            <w:shd w:val="clear" w:color="auto" w:fill="FFFFFF"/>
            <w:tcMar>
              <w:left w:w="105" w:type="dxa"/>
              <w:right w:w="105" w:type="dxa"/>
            </w:tcMar>
            <w:vAlign w:val="center"/>
          </w:tcPr>
          <w:p>
            <w:pPr>
              <w:widowControl/>
              <w:adjustRightInd w:val="0"/>
              <w:snapToGrid w:val="0"/>
              <w:jc w:val="center"/>
              <w:rPr>
                <w:rFonts w:ascii="Times New Roman" w:hAnsi="Times New Roman" w:eastAsia="仿宋" w:cs="Helvetica Neue"/>
                <w:color w:val="000000"/>
                <w:sz w:val="24"/>
                <w:szCs w:val="24"/>
              </w:rPr>
            </w:pPr>
          </w:p>
        </w:tc>
      </w:tr>
      <w:tr>
        <w:tblPrEx>
          <w:tblCellMar>
            <w:top w:w="0" w:type="dxa"/>
            <w:left w:w="0" w:type="dxa"/>
            <w:bottom w:w="0" w:type="dxa"/>
            <w:right w:w="0" w:type="dxa"/>
          </w:tblCellMar>
        </w:tblPrEx>
        <w:trPr>
          <w:cantSplit/>
          <w:trHeight w:val="567" w:hRule="atLeast"/>
          <w:jc w:val="center"/>
        </w:trPr>
        <w:tc>
          <w:tcPr>
            <w:tcW w:w="1806" w:type="dxa"/>
            <w:vMerge w:val="restart"/>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adjustRightInd w:val="0"/>
              <w:snapToGrid w:val="0"/>
              <w:jc w:val="center"/>
              <w:rPr>
                <w:rFonts w:ascii="Times New Roman" w:hAnsi="Times New Roman" w:eastAsia="仿宋" w:cs="宋体"/>
                <w:color w:val="000000"/>
                <w:sz w:val="24"/>
                <w:szCs w:val="24"/>
              </w:rPr>
            </w:pPr>
            <w:r>
              <w:rPr>
                <w:rFonts w:hint="eastAsia" w:ascii="Times New Roman" w:hAnsi="Times New Roman" w:eastAsia="仿宋" w:cs="宋体"/>
                <w:color w:val="000000"/>
                <w:sz w:val="24"/>
                <w:szCs w:val="24"/>
              </w:rPr>
              <w:t>园区联系人</w:t>
            </w:r>
          </w:p>
        </w:tc>
        <w:tc>
          <w:tcPr>
            <w:tcW w:w="127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widowControl/>
              <w:adjustRightInd w:val="0"/>
              <w:snapToGrid w:val="0"/>
              <w:spacing w:before="0" w:beforeAutospacing="0" w:after="0" w:afterAutospacing="0"/>
              <w:jc w:val="center"/>
              <w:rPr>
                <w:rFonts w:ascii="Times New Roman" w:hAnsi="Times New Roman" w:eastAsia="仿宋" w:cs="宋体"/>
                <w:color w:val="000000"/>
              </w:rPr>
            </w:pPr>
            <w:r>
              <w:rPr>
                <w:rFonts w:hint="eastAsia" w:ascii="Times New Roman" w:hAnsi="Times New Roman" w:eastAsia="仿宋" w:cs="宋体"/>
                <w:color w:val="000000"/>
              </w:rPr>
              <w:t>姓名</w:t>
            </w:r>
          </w:p>
        </w:tc>
        <w:tc>
          <w:tcPr>
            <w:tcW w:w="1418" w:type="dxa"/>
            <w:tcBorders>
              <w:top w:val="nil"/>
              <w:left w:val="nil"/>
              <w:bottom w:val="single" w:color="auto" w:sz="6" w:space="0"/>
              <w:right w:val="single" w:color="auto" w:sz="6" w:space="0"/>
            </w:tcBorders>
            <w:shd w:val="clear" w:color="auto" w:fill="FFFFFF"/>
            <w:tcMar>
              <w:left w:w="105" w:type="dxa"/>
              <w:right w:w="105" w:type="dxa"/>
            </w:tcMar>
            <w:vAlign w:val="center"/>
          </w:tcPr>
          <w:p>
            <w:pPr>
              <w:widowControl/>
              <w:adjustRightInd w:val="0"/>
              <w:snapToGrid w:val="0"/>
              <w:jc w:val="center"/>
              <w:rPr>
                <w:rFonts w:ascii="Times New Roman" w:hAnsi="Times New Roman" w:eastAsia="仿宋" w:cs="Helvetica Neue"/>
                <w:color w:val="000000"/>
                <w:sz w:val="24"/>
                <w:szCs w:val="24"/>
              </w:rPr>
            </w:pPr>
          </w:p>
        </w:tc>
        <w:tc>
          <w:tcPr>
            <w:tcW w:w="117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widowControl/>
              <w:adjustRightInd w:val="0"/>
              <w:snapToGrid w:val="0"/>
              <w:spacing w:before="0" w:beforeAutospacing="0" w:after="0" w:afterAutospacing="0"/>
              <w:jc w:val="center"/>
              <w:rPr>
                <w:rFonts w:ascii="Times New Roman" w:hAnsi="Times New Roman" w:eastAsia="仿宋" w:cs="宋体"/>
                <w:color w:val="000000"/>
              </w:rPr>
            </w:pPr>
            <w:r>
              <w:rPr>
                <w:rFonts w:hint="eastAsia" w:ascii="Times New Roman" w:hAnsi="Times New Roman" w:eastAsia="仿宋" w:cs="宋体"/>
                <w:color w:val="000000"/>
              </w:rPr>
              <w:t>职务</w:t>
            </w:r>
          </w:p>
        </w:tc>
        <w:tc>
          <w:tcPr>
            <w:tcW w:w="3359"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widowControl/>
              <w:adjustRightInd w:val="0"/>
              <w:snapToGrid w:val="0"/>
              <w:jc w:val="center"/>
              <w:rPr>
                <w:rFonts w:ascii="Times New Roman" w:hAnsi="Times New Roman" w:eastAsia="仿宋" w:cs="Helvetica Neue"/>
                <w:color w:val="000000"/>
                <w:sz w:val="24"/>
                <w:szCs w:val="24"/>
              </w:rPr>
            </w:pPr>
          </w:p>
        </w:tc>
      </w:tr>
      <w:tr>
        <w:tblPrEx>
          <w:tblCellMar>
            <w:top w:w="0" w:type="dxa"/>
            <w:left w:w="0" w:type="dxa"/>
            <w:bottom w:w="0" w:type="dxa"/>
            <w:right w:w="0" w:type="dxa"/>
          </w:tblCellMar>
        </w:tblPrEx>
        <w:trPr>
          <w:cantSplit/>
          <w:trHeight w:val="567" w:hRule="atLeast"/>
          <w:jc w:val="center"/>
        </w:trPr>
        <w:tc>
          <w:tcPr>
            <w:tcW w:w="1806" w:type="dxa"/>
            <w:vMerge w:val="continue"/>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adjustRightInd w:val="0"/>
              <w:snapToGrid w:val="0"/>
              <w:jc w:val="center"/>
              <w:rPr>
                <w:rFonts w:ascii="Times New Roman" w:hAnsi="Times New Roman" w:eastAsia="仿宋" w:cs="Helvetica Neue"/>
                <w:color w:val="000000"/>
                <w:sz w:val="24"/>
                <w:szCs w:val="24"/>
              </w:rPr>
            </w:pPr>
          </w:p>
        </w:tc>
        <w:tc>
          <w:tcPr>
            <w:tcW w:w="1276" w:type="dxa"/>
            <w:tcBorders>
              <w:top w:val="nil"/>
              <w:left w:val="nil"/>
              <w:bottom w:val="single" w:color="auto" w:sz="6" w:space="0"/>
              <w:right w:val="single" w:color="auto" w:sz="6" w:space="0"/>
            </w:tcBorders>
            <w:shd w:val="clear" w:color="auto" w:fill="FFFFFF"/>
            <w:tcMar>
              <w:left w:w="105" w:type="dxa"/>
              <w:right w:w="105" w:type="dxa"/>
            </w:tcMar>
            <w:vAlign w:val="center"/>
          </w:tcPr>
          <w:p>
            <w:pPr>
              <w:pStyle w:val="4"/>
              <w:widowControl/>
              <w:adjustRightInd w:val="0"/>
              <w:snapToGrid w:val="0"/>
              <w:spacing w:before="0" w:beforeAutospacing="0" w:after="0" w:afterAutospacing="0"/>
              <w:jc w:val="center"/>
              <w:rPr>
                <w:rFonts w:ascii="Times New Roman" w:hAnsi="Times New Roman" w:eastAsia="仿宋"/>
                <w:color w:val="000000"/>
              </w:rPr>
            </w:pPr>
            <w:r>
              <w:rPr>
                <w:rFonts w:hint="eastAsia" w:ascii="Times New Roman" w:hAnsi="Times New Roman" w:eastAsia="仿宋" w:cs="宋体"/>
                <w:color w:val="000000"/>
              </w:rPr>
              <w:t>联系电话</w:t>
            </w:r>
          </w:p>
        </w:tc>
        <w:tc>
          <w:tcPr>
            <w:tcW w:w="1418" w:type="dxa"/>
            <w:tcBorders>
              <w:top w:val="nil"/>
              <w:left w:val="nil"/>
              <w:bottom w:val="single" w:color="auto" w:sz="6" w:space="0"/>
              <w:right w:val="single" w:color="auto" w:sz="6" w:space="0"/>
            </w:tcBorders>
            <w:shd w:val="clear" w:color="auto" w:fill="FFFFFF"/>
            <w:tcMar>
              <w:left w:w="105" w:type="dxa"/>
              <w:right w:w="105" w:type="dxa"/>
            </w:tcMar>
            <w:vAlign w:val="center"/>
          </w:tcPr>
          <w:p>
            <w:pPr>
              <w:widowControl/>
              <w:adjustRightInd w:val="0"/>
              <w:snapToGrid w:val="0"/>
              <w:jc w:val="center"/>
              <w:rPr>
                <w:rFonts w:ascii="Times New Roman" w:hAnsi="Times New Roman" w:eastAsia="仿宋" w:cs="Helvetica Neue"/>
                <w:color w:val="000000"/>
                <w:sz w:val="24"/>
                <w:szCs w:val="24"/>
              </w:rPr>
            </w:pPr>
          </w:p>
        </w:tc>
        <w:tc>
          <w:tcPr>
            <w:tcW w:w="1177"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pStyle w:val="4"/>
              <w:widowControl/>
              <w:adjustRightInd w:val="0"/>
              <w:snapToGrid w:val="0"/>
              <w:spacing w:before="0" w:beforeAutospacing="0" w:after="0" w:afterAutospacing="0"/>
              <w:jc w:val="center"/>
              <w:rPr>
                <w:rFonts w:ascii="Times New Roman" w:hAnsi="Times New Roman" w:eastAsia="仿宋"/>
                <w:color w:val="000000"/>
              </w:rPr>
            </w:pPr>
            <w:r>
              <w:rPr>
                <w:rFonts w:hint="eastAsia" w:ascii="Times New Roman" w:hAnsi="Times New Roman" w:eastAsia="仿宋" w:cs="宋体"/>
                <w:color w:val="000000"/>
              </w:rPr>
              <w:t>手机号码</w:t>
            </w:r>
          </w:p>
        </w:tc>
        <w:tc>
          <w:tcPr>
            <w:tcW w:w="3359" w:type="dxa"/>
            <w:gridSpan w:val="2"/>
            <w:tcBorders>
              <w:top w:val="nil"/>
              <w:left w:val="nil"/>
              <w:bottom w:val="single" w:color="auto" w:sz="6" w:space="0"/>
              <w:right w:val="single" w:color="auto" w:sz="6" w:space="0"/>
            </w:tcBorders>
            <w:shd w:val="clear" w:color="auto" w:fill="FFFFFF"/>
            <w:tcMar>
              <w:left w:w="105" w:type="dxa"/>
              <w:right w:w="105" w:type="dxa"/>
            </w:tcMar>
            <w:vAlign w:val="center"/>
          </w:tcPr>
          <w:p>
            <w:pPr>
              <w:widowControl/>
              <w:adjustRightInd w:val="0"/>
              <w:snapToGrid w:val="0"/>
              <w:jc w:val="center"/>
              <w:rPr>
                <w:rFonts w:ascii="Times New Roman" w:hAnsi="Times New Roman" w:eastAsia="仿宋" w:cs="Helvetica Neue"/>
                <w:color w:val="000000"/>
                <w:sz w:val="24"/>
                <w:szCs w:val="24"/>
              </w:rPr>
            </w:pPr>
          </w:p>
        </w:tc>
      </w:tr>
      <w:tr>
        <w:tblPrEx>
          <w:tblCellMar>
            <w:top w:w="0" w:type="dxa"/>
            <w:left w:w="0" w:type="dxa"/>
            <w:bottom w:w="0" w:type="dxa"/>
            <w:right w:w="0" w:type="dxa"/>
          </w:tblCellMar>
        </w:tblPrEx>
        <w:trPr>
          <w:cantSplit/>
          <w:trHeight w:val="3179" w:hRule="atLeast"/>
          <w:jc w:val="center"/>
        </w:trPr>
        <w:tc>
          <w:tcPr>
            <w:tcW w:w="1806" w:type="dxa"/>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pStyle w:val="4"/>
              <w:widowControl/>
              <w:adjustRightInd w:val="0"/>
              <w:snapToGrid w:val="0"/>
              <w:spacing w:before="0" w:beforeAutospacing="0" w:after="0" w:afterAutospacing="0"/>
              <w:ind w:firstLine="240" w:firstLineChars="100"/>
              <w:jc w:val="both"/>
              <w:rPr>
                <w:rFonts w:ascii="Times New Roman" w:hAnsi="Times New Roman" w:eastAsia="仿宋" w:cs="宋体"/>
                <w:color w:val="000000"/>
              </w:rPr>
            </w:pPr>
            <w:r>
              <w:rPr>
                <w:rFonts w:hint="eastAsia" w:ascii="Times New Roman" w:hAnsi="Times New Roman" w:eastAsia="仿宋" w:cs="宋体"/>
                <w:color w:val="000000"/>
              </w:rPr>
              <w:t>园区简介</w:t>
            </w:r>
          </w:p>
        </w:tc>
        <w:tc>
          <w:tcPr>
            <w:tcW w:w="7230" w:type="dxa"/>
            <w:gridSpan w:val="6"/>
            <w:tcBorders>
              <w:top w:val="single" w:color="auto" w:sz="6" w:space="0"/>
              <w:left w:val="single" w:color="auto" w:sz="6" w:space="0"/>
              <w:bottom w:val="single" w:color="auto" w:sz="6" w:space="0"/>
              <w:right w:val="single" w:color="auto" w:sz="6" w:space="0"/>
            </w:tcBorders>
            <w:shd w:val="clear" w:color="auto" w:fill="FFFFFF"/>
            <w:vAlign w:val="center"/>
          </w:tcPr>
          <w:p>
            <w:pPr>
              <w:pStyle w:val="4"/>
              <w:widowControl/>
              <w:adjustRightInd w:val="0"/>
              <w:snapToGrid w:val="0"/>
              <w:spacing w:before="0" w:beforeAutospacing="0" w:after="0" w:afterAutospacing="0"/>
              <w:rPr>
                <w:rFonts w:ascii="Times New Roman" w:hAnsi="Times New Roman" w:eastAsia="仿宋" w:cs="宋体"/>
                <w:color w:val="000000"/>
              </w:rPr>
            </w:pPr>
          </w:p>
          <w:p>
            <w:pPr>
              <w:pStyle w:val="4"/>
              <w:widowControl/>
              <w:adjustRightInd w:val="0"/>
              <w:snapToGrid w:val="0"/>
              <w:spacing w:before="0" w:beforeAutospacing="0" w:after="0" w:afterAutospacing="0"/>
              <w:rPr>
                <w:rFonts w:ascii="Times New Roman" w:hAnsi="Times New Roman" w:eastAsia="仿宋" w:cs="宋体"/>
                <w:color w:val="000000"/>
              </w:rPr>
            </w:pPr>
          </w:p>
          <w:p>
            <w:pPr>
              <w:pStyle w:val="4"/>
              <w:widowControl/>
              <w:adjustRightInd w:val="0"/>
              <w:snapToGrid w:val="0"/>
              <w:spacing w:before="0" w:beforeAutospacing="0" w:after="0" w:afterAutospacing="0"/>
              <w:rPr>
                <w:rFonts w:ascii="Times New Roman" w:hAnsi="Times New Roman" w:eastAsia="仿宋" w:cs="宋体"/>
                <w:color w:val="000000"/>
              </w:rPr>
            </w:pPr>
          </w:p>
          <w:p>
            <w:pPr>
              <w:pStyle w:val="4"/>
              <w:widowControl/>
              <w:adjustRightInd w:val="0"/>
              <w:snapToGrid w:val="0"/>
              <w:spacing w:before="0" w:beforeAutospacing="0" w:after="0" w:afterAutospacing="0"/>
              <w:rPr>
                <w:rFonts w:ascii="Times New Roman" w:hAnsi="Times New Roman" w:eastAsia="仿宋" w:cs="宋体"/>
                <w:color w:val="000000"/>
              </w:rPr>
            </w:pPr>
          </w:p>
          <w:p>
            <w:pPr>
              <w:pStyle w:val="4"/>
              <w:widowControl/>
              <w:adjustRightInd w:val="0"/>
              <w:snapToGrid w:val="0"/>
              <w:spacing w:before="0" w:beforeAutospacing="0" w:after="0" w:afterAutospacing="0"/>
              <w:rPr>
                <w:rFonts w:ascii="Times New Roman" w:hAnsi="Times New Roman" w:eastAsia="仿宋" w:cs="宋体"/>
                <w:color w:val="000000"/>
              </w:rPr>
            </w:pPr>
          </w:p>
          <w:p>
            <w:pPr>
              <w:pStyle w:val="4"/>
              <w:widowControl/>
              <w:adjustRightInd w:val="0"/>
              <w:snapToGrid w:val="0"/>
              <w:spacing w:before="0" w:beforeAutospacing="0" w:after="0" w:afterAutospacing="0"/>
              <w:rPr>
                <w:rFonts w:ascii="Times New Roman" w:hAnsi="Times New Roman" w:eastAsia="仿宋" w:cs="宋体"/>
                <w:color w:val="000000"/>
              </w:rPr>
            </w:pPr>
          </w:p>
          <w:p>
            <w:pPr>
              <w:pStyle w:val="4"/>
              <w:widowControl/>
              <w:adjustRightInd w:val="0"/>
              <w:snapToGrid w:val="0"/>
              <w:spacing w:before="0" w:beforeAutospacing="0" w:after="0" w:afterAutospacing="0"/>
              <w:rPr>
                <w:rFonts w:ascii="Times New Roman" w:hAnsi="Times New Roman" w:eastAsia="仿宋" w:cs="宋体"/>
                <w:color w:val="000000"/>
              </w:rPr>
            </w:pPr>
          </w:p>
          <w:p>
            <w:pPr>
              <w:pStyle w:val="4"/>
              <w:widowControl/>
              <w:adjustRightInd w:val="0"/>
              <w:snapToGrid w:val="0"/>
              <w:spacing w:before="0" w:beforeAutospacing="0" w:after="0" w:afterAutospacing="0"/>
              <w:rPr>
                <w:rFonts w:ascii="Times New Roman" w:hAnsi="Times New Roman" w:eastAsia="仿宋" w:cs="宋体"/>
                <w:color w:val="000000"/>
              </w:rPr>
            </w:pPr>
          </w:p>
          <w:p>
            <w:pPr>
              <w:pStyle w:val="4"/>
              <w:widowControl/>
              <w:adjustRightInd w:val="0"/>
              <w:snapToGrid w:val="0"/>
              <w:spacing w:before="0" w:beforeAutospacing="0" w:after="0" w:afterAutospacing="0"/>
              <w:rPr>
                <w:rFonts w:ascii="Times New Roman" w:hAnsi="Times New Roman" w:eastAsia="仿宋" w:cs="宋体"/>
                <w:color w:val="000000"/>
              </w:rPr>
            </w:pPr>
          </w:p>
          <w:p>
            <w:pPr>
              <w:pStyle w:val="4"/>
              <w:widowControl/>
              <w:adjustRightInd w:val="0"/>
              <w:snapToGrid w:val="0"/>
              <w:spacing w:before="0" w:beforeAutospacing="0" w:after="0" w:afterAutospacing="0"/>
              <w:rPr>
                <w:rFonts w:ascii="Times New Roman" w:hAnsi="Times New Roman" w:eastAsia="仿宋" w:cs="宋体"/>
                <w:color w:val="000000"/>
              </w:rPr>
            </w:pPr>
          </w:p>
          <w:p>
            <w:pPr>
              <w:pStyle w:val="4"/>
              <w:widowControl/>
              <w:adjustRightInd w:val="0"/>
              <w:snapToGrid w:val="0"/>
              <w:spacing w:before="0" w:beforeAutospacing="0" w:after="0" w:afterAutospacing="0"/>
              <w:rPr>
                <w:rFonts w:ascii="Times New Roman" w:hAnsi="Times New Roman" w:eastAsia="仿宋" w:cs="宋体"/>
                <w:color w:val="000000"/>
              </w:rPr>
            </w:pPr>
          </w:p>
          <w:p>
            <w:pPr>
              <w:pStyle w:val="4"/>
              <w:widowControl/>
              <w:adjustRightInd w:val="0"/>
              <w:snapToGrid w:val="0"/>
              <w:spacing w:before="0" w:beforeAutospacing="0" w:after="0" w:afterAutospacing="0"/>
              <w:rPr>
                <w:rFonts w:ascii="Times New Roman" w:hAnsi="Times New Roman" w:eastAsia="仿宋" w:cs="宋体"/>
                <w:color w:val="000000"/>
              </w:rPr>
            </w:pPr>
          </w:p>
          <w:p>
            <w:pPr>
              <w:pStyle w:val="4"/>
              <w:widowControl/>
              <w:adjustRightInd w:val="0"/>
              <w:snapToGrid w:val="0"/>
              <w:spacing w:before="0" w:beforeAutospacing="0" w:after="0" w:afterAutospacing="0"/>
              <w:rPr>
                <w:rFonts w:ascii="Times New Roman" w:hAnsi="Times New Roman" w:eastAsia="仿宋" w:cs="宋体"/>
                <w:color w:val="000000"/>
              </w:rPr>
            </w:pPr>
          </w:p>
          <w:p>
            <w:pPr>
              <w:pStyle w:val="4"/>
              <w:widowControl/>
              <w:adjustRightInd w:val="0"/>
              <w:snapToGrid w:val="0"/>
              <w:spacing w:before="0" w:beforeAutospacing="0" w:after="0" w:afterAutospacing="0"/>
              <w:rPr>
                <w:rFonts w:ascii="Times New Roman" w:hAnsi="Times New Roman" w:eastAsia="仿宋" w:cs="宋体"/>
                <w:color w:val="000000"/>
              </w:rPr>
            </w:pPr>
          </w:p>
          <w:p>
            <w:pPr>
              <w:pStyle w:val="4"/>
              <w:widowControl/>
              <w:adjustRightInd w:val="0"/>
              <w:snapToGrid w:val="0"/>
              <w:spacing w:before="0" w:beforeAutospacing="0" w:after="0" w:afterAutospacing="0"/>
              <w:rPr>
                <w:rFonts w:ascii="Times New Roman" w:hAnsi="Times New Roman" w:eastAsia="仿宋" w:cs="宋体"/>
                <w:color w:val="000000"/>
              </w:rPr>
            </w:pPr>
          </w:p>
        </w:tc>
      </w:tr>
      <w:tr>
        <w:tblPrEx>
          <w:tblCellMar>
            <w:top w:w="0" w:type="dxa"/>
            <w:left w:w="0" w:type="dxa"/>
            <w:bottom w:w="0" w:type="dxa"/>
            <w:right w:w="0" w:type="dxa"/>
          </w:tblCellMar>
        </w:tblPrEx>
        <w:trPr>
          <w:cantSplit/>
          <w:trHeight w:val="2164" w:hRule="atLeast"/>
          <w:jc w:val="center"/>
        </w:trPr>
        <w:tc>
          <w:tcPr>
            <w:tcW w:w="9036" w:type="dxa"/>
            <w:gridSpan w:val="7"/>
            <w:tcBorders>
              <w:top w:val="single" w:color="auto" w:sz="6" w:space="0"/>
              <w:left w:val="single" w:color="auto" w:sz="6" w:space="0"/>
              <w:bottom w:val="single" w:color="auto" w:sz="6" w:space="0"/>
              <w:right w:val="single" w:color="auto" w:sz="6" w:space="0"/>
            </w:tcBorders>
            <w:shd w:val="clear" w:color="auto" w:fill="FFFFFF"/>
            <w:tcMar>
              <w:left w:w="105" w:type="dxa"/>
              <w:right w:w="105" w:type="dxa"/>
            </w:tcMar>
            <w:vAlign w:val="center"/>
          </w:tcPr>
          <w:p>
            <w:pPr>
              <w:widowControl/>
              <w:spacing w:line="360" w:lineRule="auto"/>
              <w:rPr>
                <w:rFonts w:ascii="Times New Roman" w:hAnsi="Times New Roman" w:eastAsia="仿宋"/>
                <w:b/>
                <w:kern w:val="0"/>
                <w:sz w:val="24"/>
                <w:szCs w:val="24"/>
              </w:rPr>
            </w:pPr>
            <w:r>
              <w:rPr>
                <w:rFonts w:hint="eastAsia" w:ascii="Times New Roman" w:hAnsi="Times New Roman" w:eastAsia="仿宋"/>
                <w:b/>
                <w:kern w:val="0"/>
                <w:sz w:val="24"/>
                <w:szCs w:val="24"/>
              </w:rPr>
              <w:t>材料真实性承诺：</w:t>
            </w:r>
          </w:p>
          <w:p>
            <w:pPr>
              <w:widowControl/>
              <w:spacing w:line="360" w:lineRule="auto"/>
              <w:ind w:firstLine="496" w:firstLineChars="207"/>
              <w:rPr>
                <w:rFonts w:ascii="Times New Roman" w:hAnsi="Times New Roman" w:eastAsia="仿宋"/>
                <w:kern w:val="0"/>
                <w:sz w:val="24"/>
                <w:szCs w:val="24"/>
              </w:rPr>
            </w:pPr>
            <w:r>
              <w:rPr>
                <w:rFonts w:hint="eastAsia" w:ascii="Times New Roman" w:hAnsi="Times New Roman" w:eastAsia="仿宋"/>
                <w:kern w:val="0"/>
                <w:sz w:val="24"/>
                <w:szCs w:val="24"/>
              </w:rPr>
              <w:t>我单位郑重承诺：本次申报大连市绿色工业园区所提交的相关数据和信息均真实、有效，愿接受并积极配合主管部门的监督抽查和核验。如有违反，愿承担由此产生的相应的责任。</w:t>
            </w:r>
          </w:p>
          <w:p>
            <w:pPr>
              <w:pStyle w:val="4"/>
              <w:widowControl/>
              <w:adjustRightInd w:val="0"/>
              <w:snapToGrid w:val="0"/>
              <w:spacing w:before="0" w:beforeAutospacing="0" w:after="0" w:afterAutospacing="0"/>
              <w:jc w:val="both"/>
              <w:rPr>
                <w:rFonts w:ascii="Times New Roman" w:hAnsi="Times New Roman" w:eastAsia="仿宋"/>
                <w:color w:val="000000"/>
              </w:rPr>
            </w:pPr>
          </w:p>
          <w:p>
            <w:pPr>
              <w:pStyle w:val="4"/>
              <w:widowControl/>
              <w:adjustRightInd w:val="0"/>
              <w:snapToGrid w:val="0"/>
              <w:spacing w:before="0" w:beforeAutospacing="0" w:after="0" w:afterAutospacing="0"/>
              <w:jc w:val="both"/>
              <w:rPr>
                <w:rFonts w:ascii="Times New Roman" w:hAnsi="Times New Roman" w:eastAsia="仿宋"/>
                <w:color w:val="000000"/>
              </w:rPr>
            </w:pPr>
          </w:p>
          <w:p>
            <w:pPr>
              <w:widowControl/>
              <w:spacing w:line="360" w:lineRule="auto"/>
              <w:ind w:right="1302" w:rightChars="620"/>
              <w:jc w:val="right"/>
              <w:rPr>
                <w:rFonts w:ascii="Times New Roman" w:hAnsi="Times New Roman" w:eastAsia="仿宋"/>
                <w:b/>
                <w:kern w:val="0"/>
                <w:sz w:val="24"/>
                <w:szCs w:val="24"/>
              </w:rPr>
            </w:pPr>
            <w:r>
              <w:rPr>
                <w:rFonts w:hint="eastAsia" w:ascii="Times New Roman" w:hAnsi="Times New Roman" w:eastAsia="仿宋"/>
                <w:b/>
                <w:kern w:val="0"/>
                <w:sz w:val="24"/>
                <w:szCs w:val="24"/>
              </w:rPr>
              <w:t>负责人签字：</w:t>
            </w:r>
          </w:p>
          <w:p>
            <w:pPr>
              <w:widowControl/>
              <w:spacing w:line="360" w:lineRule="auto"/>
              <w:ind w:right="1302" w:rightChars="620"/>
              <w:jc w:val="right"/>
              <w:rPr>
                <w:rFonts w:ascii="Times New Roman" w:hAnsi="Times New Roman" w:eastAsia="仿宋"/>
                <w:b/>
                <w:kern w:val="0"/>
                <w:sz w:val="24"/>
                <w:szCs w:val="24"/>
              </w:rPr>
            </w:pPr>
            <w:r>
              <w:rPr>
                <w:rFonts w:hint="eastAsia" w:ascii="Times New Roman" w:hAnsi="Times New Roman" w:eastAsia="仿宋"/>
                <w:b/>
                <w:kern w:val="0"/>
                <w:sz w:val="24"/>
                <w:szCs w:val="24"/>
              </w:rPr>
              <w:t>单位：（公章）</w:t>
            </w:r>
          </w:p>
          <w:p>
            <w:pPr>
              <w:widowControl/>
              <w:spacing w:line="360" w:lineRule="auto"/>
              <w:ind w:right="1302" w:rightChars="620"/>
              <w:jc w:val="right"/>
              <w:rPr>
                <w:rFonts w:ascii="Times New Roman" w:hAnsi="Times New Roman" w:eastAsia="仿宋"/>
                <w:color w:val="000000"/>
              </w:rPr>
            </w:pPr>
            <w:r>
              <w:rPr>
                <w:rFonts w:hint="eastAsia" w:ascii="Times New Roman" w:hAnsi="Times New Roman" w:eastAsia="仿宋"/>
                <w:b/>
                <w:kern w:val="0"/>
                <w:sz w:val="24"/>
                <w:szCs w:val="24"/>
              </w:rPr>
              <w:t>日期：</w:t>
            </w:r>
          </w:p>
        </w:tc>
      </w:tr>
    </w:tbl>
    <w:p>
      <w:pPr>
        <w:rPr>
          <w:color w:val="000000"/>
        </w:rPr>
        <w:sectPr>
          <w:footerReference r:id="rId3" w:type="default"/>
          <w:pgSz w:w="11906" w:h="16838"/>
          <w:pgMar w:top="2098" w:right="1474" w:bottom="1814" w:left="1588" w:header="851" w:footer="992" w:gutter="0"/>
          <w:pgNumType w:start="1"/>
          <w:cols w:space="425" w:num="1"/>
          <w:docGrid w:type="lines" w:linePitch="312" w:charSpace="0"/>
        </w:sectPr>
      </w:pPr>
    </w:p>
    <w:p>
      <w:pPr>
        <w:jc w:val="center"/>
        <w:rPr>
          <w:rFonts w:ascii="黑体" w:hAnsi="黑体" w:eastAsia="黑体"/>
          <w:color w:val="000000"/>
          <w:sz w:val="32"/>
          <w:szCs w:val="32"/>
        </w:rPr>
      </w:pPr>
      <w:r>
        <w:rPr>
          <w:rFonts w:hint="eastAsia" w:ascii="黑体" w:hAnsi="黑体" w:eastAsia="黑体"/>
          <w:color w:val="000000"/>
          <w:sz w:val="32"/>
          <w:szCs w:val="32"/>
        </w:rPr>
        <w:t>二、绿色园区自评表</w:t>
      </w:r>
    </w:p>
    <w:tbl>
      <w:tblPr>
        <w:tblStyle w:val="5"/>
        <w:tblW w:w="911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34"/>
        <w:gridCol w:w="685"/>
        <w:gridCol w:w="3174"/>
        <w:gridCol w:w="858"/>
        <w:gridCol w:w="850"/>
        <w:gridCol w:w="709"/>
        <w:gridCol w:w="852"/>
        <w:gridCol w:w="85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blHeader/>
          <w:jc w:val="center"/>
        </w:trPr>
        <w:tc>
          <w:tcPr>
            <w:tcW w:w="1134" w:type="dxa"/>
            <w:vAlign w:val="center"/>
          </w:tcPr>
          <w:p>
            <w:pPr>
              <w:widowControl/>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一级指标</w:t>
            </w:r>
          </w:p>
        </w:tc>
        <w:tc>
          <w:tcPr>
            <w:tcW w:w="685" w:type="dxa"/>
            <w:vAlign w:val="center"/>
          </w:tcPr>
          <w:p>
            <w:pPr>
              <w:widowControl/>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序号</w:t>
            </w:r>
          </w:p>
        </w:tc>
        <w:tc>
          <w:tcPr>
            <w:tcW w:w="3174" w:type="dxa"/>
            <w:vAlign w:val="center"/>
          </w:tcPr>
          <w:p>
            <w:pPr>
              <w:widowControl/>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二级指标</w:t>
            </w:r>
          </w:p>
        </w:tc>
        <w:tc>
          <w:tcPr>
            <w:tcW w:w="858" w:type="dxa"/>
            <w:vAlign w:val="center"/>
          </w:tcPr>
          <w:p>
            <w:pPr>
              <w:widowControl/>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指标</w:t>
            </w:r>
          </w:p>
          <w:p>
            <w:pPr>
              <w:widowControl/>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单位</w:t>
            </w:r>
          </w:p>
        </w:tc>
        <w:tc>
          <w:tcPr>
            <w:tcW w:w="850" w:type="dxa"/>
            <w:vAlign w:val="center"/>
          </w:tcPr>
          <w:p>
            <w:pPr>
              <w:widowControl/>
              <w:jc w:val="center"/>
              <w:rPr>
                <w:rFonts w:ascii="Times New Roman" w:hAnsi="Times New Roman" w:eastAsia="仿宋"/>
                <w:b/>
                <w:bCs/>
                <w:color w:val="000000"/>
                <w:kern w:val="0"/>
                <w:szCs w:val="21"/>
              </w:rPr>
            </w:pPr>
            <w:r>
              <w:rPr>
                <w:rFonts w:hint="eastAsia" w:ascii="Times New Roman" w:hAnsi="Times New Roman" w:eastAsia="仿宋"/>
                <w:b/>
                <w:bCs/>
                <w:color w:val="000000"/>
                <w:kern w:val="0"/>
                <w:szCs w:val="21"/>
              </w:rPr>
              <w:t>引领值</w:t>
            </w:r>
          </w:p>
        </w:tc>
        <w:tc>
          <w:tcPr>
            <w:tcW w:w="709" w:type="dxa"/>
            <w:vAlign w:val="center"/>
          </w:tcPr>
          <w:p>
            <w:pPr>
              <w:widowControl/>
              <w:jc w:val="center"/>
              <w:rPr>
                <w:rFonts w:ascii="Times New Roman" w:hAnsi="Times New Roman" w:eastAsia="仿宋"/>
                <w:b/>
                <w:bCs/>
                <w:color w:val="000000"/>
                <w:kern w:val="0"/>
                <w:szCs w:val="21"/>
              </w:rPr>
            </w:pPr>
            <w:r>
              <w:rPr>
                <w:rFonts w:hint="eastAsia" w:ascii="Times New Roman" w:hAnsi="Times New Roman" w:eastAsia="仿宋"/>
                <w:b/>
                <w:bCs/>
                <w:color w:val="000000"/>
                <w:kern w:val="0"/>
                <w:szCs w:val="21"/>
              </w:rPr>
              <w:t>分值</w:t>
            </w:r>
          </w:p>
        </w:tc>
        <w:tc>
          <w:tcPr>
            <w:tcW w:w="852" w:type="dxa"/>
            <w:vAlign w:val="center"/>
          </w:tcPr>
          <w:p>
            <w:pPr>
              <w:widowControl/>
              <w:jc w:val="center"/>
              <w:rPr>
                <w:rFonts w:ascii="Times New Roman" w:hAnsi="Times New Roman" w:eastAsia="仿宋"/>
                <w:b/>
                <w:bCs/>
                <w:color w:val="000000"/>
                <w:kern w:val="0"/>
                <w:szCs w:val="21"/>
              </w:rPr>
            </w:pPr>
            <w:r>
              <w:rPr>
                <w:rFonts w:ascii="Times New Roman" w:hAnsi="Times New Roman" w:eastAsia="仿宋"/>
                <w:b/>
                <w:bCs/>
                <w:color w:val="000000"/>
                <w:kern w:val="0"/>
                <w:szCs w:val="21"/>
              </w:rPr>
              <w:t>指标</w:t>
            </w:r>
            <w:r>
              <w:rPr>
                <w:rFonts w:hint="eastAsia" w:ascii="Times New Roman" w:hAnsi="Times New Roman" w:eastAsia="仿宋"/>
                <w:b/>
                <w:bCs/>
                <w:color w:val="000000"/>
                <w:kern w:val="0"/>
                <w:szCs w:val="21"/>
              </w:rPr>
              <w:t>值</w:t>
            </w:r>
          </w:p>
        </w:tc>
        <w:tc>
          <w:tcPr>
            <w:tcW w:w="851" w:type="dxa"/>
            <w:vAlign w:val="center"/>
          </w:tcPr>
          <w:p>
            <w:pPr>
              <w:widowControl/>
              <w:jc w:val="center"/>
              <w:rPr>
                <w:rFonts w:ascii="Times New Roman" w:hAnsi="Times New Roman" w:eastAsia="仿宋"/>
                <w:b/>
                <w:bCs/>
                <w:color w:val="000000"/>
                <w:kern w:val="0"/>
                <w:szCs w:val="21"/>
              </w:rPr>
            </w:pPr>
            <w:r>
              <w:rPr>
                <w:rFonts w:hint="eastAsia" w:ascii="Times New Roman" w:hAnsi="Times New Roman" w:eastAsia="仿宋"/>
                <w:b/>
                <w:bCs/>
                <w:color w:val="000000"/>
                <w:kern w:val="0"/>
                <w:szCs w:val="21"/>
              </w:rPr>
              <w:t>自评分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基本要求</w:t>
            </w: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1</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kern w:val="0"/>
                <w:szCs w:val="21"/>
              </w:rPr>
              <w:t>国家和地方绿色、循环和低碳相关法律法规、政策和标准应得到有效的贯彻执行。</w:t>
            </w:r>
          </w:p>
        </w:tc>
        <w:tc>
          <w:tcPr>
            <w:tcW w:w="858"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一票否决</w:t>
            </w:r>
          </w:p>
        </w:tc>
        <w:tc>
          <w:tcPr>
            <w:tcW w:w="852"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2</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kern w:val="0"/>
                <w:szCs w:val="21"/>
              </w:rPr>
              <w:t>近三年，未发生重大污染事故或重大生态破坏事件，完成国家或地方政府下达的节能减排指标，碳排放强度持续下降。</w:t>
            </w:r>
          </w:p>
        </w:tc>
        <w:tc>
          <w:tcPr>
            <w:tcW w:w="858"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一票否决</w:t>
            </w:r>
          </w:p>
        </w:tc>
        <w:tc>
          <w:tcPr>
            <w:tcW w:w="852"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3</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kern w:val="0"/>
                <w:szCs w:val="21"/>
              </w:rPr>
              <w:t>环境质量达到国家或地方规定的环境功能区环境质量标准，园区内企业污染物达标排放，各类重点污染物排放总量均不超过国家或地方的总量控制要求。</w:t>
            </w:r>
          </w:p>
        </w:tc>
        <w:tc>
          <w:tcPr>
            <w:tcW w:w="858"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一票否决</w:t>
            </w:r>
          </w:p>
        </w:tc>
        <w:tc>
          <w:tcPr>
            <w:tcW w:w="852"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4</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kern w:val="0"/>
                <w:szCs w:val="21"/>
              </w:rPr>
              <w:t>园区重点企业100%实施清洁生产审核。</w:t>
            </w:r>
          </w:p>
        </w:tc>
        <w:tc>
          <w:tcPr>
            <w:tcW w:w="858"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一票否决</w:t>
            </w:r>
          </w:p>
        </w:tc>
        <w:tc>
          <w:tcPr>
            <w:tcW w:w="852"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kern w:val="0"/>
                <w:szCs w:val="21"/>
              </w:rPr>
              <w:t>园区企业不应使用国家列入淘汰目录的落后生产技术、工艺和设备，不应生产国家列入淘汰目录的产品。</w:t>
            </w:r>
          </w:p>
        </w:tc>
        <w:tc>
          <w:tcPr>
            <w:tcW w:w="858"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一票否决</w:t>
            </w:r>
          </w:p>
        </w:tc>
        <w:tc>
          <w:tcPr>
            <w:tcW w:w="852"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6</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kern w:val="0"/>
                <w:szCs w:val="21"/>
              </w:rPr>
              <w:t>园区建立履行绿色发展工作职责的专门机构、配备2名以上专职工作人员。</w:t>
            </w:r>
          </w:p>
        </w:tc>
        <w:tc>
          <w:tcPr>
            <w:tcW w:w="858"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一票否决</w:t>
            </w:r>
          </w:p>
        </w:tc>
        <w:tc>
          <w:tcPr>
            <w:tcW w:w="852"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7</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kern w:val="0"/>
                <w:szCs w:val="21"/>
              </w:rPr>
              <w:t>鼓励园区建立并运行环境管理体系和能源管理体系，建立园区能源监测管理平台。</w:t>
            </w:r>
          </w:p>
        </w:tc>
        <w:tc>
          <w:tcPr>
            <w:tcW w:w="858"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鼓励</w:t>
            </w:r>
          </w:p>
        </w:tc>
        <w:tc>
          <w:tcPr>
            <w:tcW w:w="852"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8</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kern w:val="0"/>
                <w:szCs w:val="21"/>
              </w:rPr>
              <w:t>鼓励园区建设并运行风能、太阳能等可再生能源应用设施。</w:t>
            </w:r>
          </w:p>
        </w:tc>
        <w:tc>
          <w:tcPr>
            <w:tcW w:w="858"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鼓励</w:t>
            </w:r>
          </w:p>
        </w:tc>
        <w:tc>
          <w:tcPr>
            <w:tcW w:w="852"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w:t>
            </w: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能源利用</w:t>
            </w:r>
          </w:p>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绿色化指标（EG）</w:t>
            </w: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9</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能源产出率</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万元/tce</w:t>
            </w:r>
          </w:p>
        </w:tc>
        <w:tc>
          <w:tcPr>
            <w:tcW w:w="850"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3</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10</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可再生能源使用比例</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1</w:t>
            </w:r>
            <w:r>
              <w:rPr>
                <w:rFonts w:ascii="Times New Roman" w:hAnsi="Times New Roman" w:eastAsia="仿宋"/>
                <w:color w:val="000000"/>
                <w:kern w:val="0"/>
                <w:szCs w:val="21"/>
              </w:rPr>
              <w:t>5</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11</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清洁能源使用率</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7</w:t>
            </w:r>
            <w:r>
              <w:rPr>
                <w:rFonts w:ascii="Times New Roman" w:hAnsi="Times New Roman" w:eastAsia="仿宋"/>
                <w:color w:val="000000"/>
                <w:kern w:val="0"/>
                <w:szCs w:val="21"/>
              </w:rPr>
              <w:t>5</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资源利用</w:t>
            </w:r>
          </w:p>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绿色化指标</w:t>
            </w:r>
            <w:r>
              <w:rPr>
                <w:rFonts w:hint="eastAsia" w:ascii="Times New Roman" w:hAnsi="Times New Roman" w:eastAsia="仿宋"/>
                <w:color w:val="000000"/>
                <w:kern w:val="0"/>
                <w:szCs w:val="21"/>
              </w:rPr>
              <w:t>（R</w:t>
            </w:r>
            <w:r>
              <w:rPr>
                <w:rFonts w:ascii="Times New Roman" w:hAnsi="Times New Roman" w:eastAsia="仿宋"/>
                <w:color w:val="000000"/>
                <w:kern w:val="0"/>
                <w:szCs w:val="21"/>
              </w:rPr>
              <w:t>G</w:t>
            </w:r>
            <w:r>
              <w:rPr>
                <w:rFonts w:hint="eastAsia" w:ascii="Times New Roman" w:hAnsi="Times New Roman" w:eastAsia="仿宋"/>
                <w:color w:val="000000"/>
                <w:kern w:val="0"/>
                <w:szCs w:val="21"/>
              </w:rPr>
              <w:t>）</w:t>
            </w: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12</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水资源产出率</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元/m</w:t>
            </w:r>
            <w:r>
              <w:rPr>
                <w:rFonts w:ascii="Times New Roman" w:hAnsi="Times New Roman" w:eastAsia="仿宋"/>
                <w:color w:val="000000"/>
                <w:kern w:val="0"/>
                <w:szCs w:val="21"/>
                <w:vertAlign w:val="superscript"/>
              </w:rPr>
              <w:t>3</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1</w:t>
            </w:r>
            <w:r>
              <w:rPr>
                <w:rFonts w:ascii="Times New Roman" w:hAnsi="Times New Roman" w:eastAsia="仿宋"/>
                <w:color w:val="000000"/>
                <w:kern w:val="0"/>
                <w:szCs w:val="21"/>
              </w:rPr>
              <w:t>500</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13</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土地资源产出率</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亿元/km</w:t>
            </w:r>
            <w:r>
              <w:rPr>
                <w:rFonts w:ascii="Times New Roman" w:hAnsi="Times New Roman" w:eastAsia="仿宋"/>
                <w:color w:val="000000"/>
                <w:kern w:val="0"/>
                <w:szCs w:val="21"/>
                <w:vertAlign w:val="superscript"/>
              </w:rPr>
              <w:t>2</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1</w:t>
            </w:r>
            <w:r>
              <w:rPr>
                <w:rFonts w:ascii="Times New Roman" w:hAnsi="Times New Roman" w:eastAsia="仿宋"/>
                <w:color w:val="000000"/>
                <w:kern w:val="0"/>
                <w:szCs w:val="21"/>
              </w:rPr>
              <w:t>5</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14</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工业固体废弃物综合利用率</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9</w:t>
            </w:r>
            <w:r>
              <w:rPr>
                <w:rFonts w:ascii="Times New Roman" w:hAnsi="Times New Roman" w:eastAsia="仿宋"/>
                <w:color w:val="000000"/>
                <w:kern w:val="0"/>
                <w:szCs w:val="21"/>
              </w:rPr>
              <w:t>5</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15</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工业用水重复利用率</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9</w:t>
            </w:r>
            <w:r>
              <w:rPr>
                <w:rFonts w:ascii="Times New Roman" w:hAnsi="Times New Roman" w:eastAsia="仿宋"/>
                <w:color w:val="000000"/>
                <w:kern w:val="0"/>
                <w:szCs w:val="21"/>
              </w:rPr>
              <w:t>0</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16</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中水回用率</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3</w:t>
            </w:r>
            <w:r>
              <w:rPr>
                <w:rFonts w:ascii="Times New Roman" w:hAnsi="Times New Roman" w:eastAsia="仿宋"/>
                <w:color w:val="000000"/>
                <w:kern w:val="0"/>
                <w:szCs w:val="21"/>
              </w:rPr>
              <w:t>0</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17</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余热资源回收利用率</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6</w:t>
            </w:r>
            <w:r>
              <w:rPr>
                <w:rFonts w:ascii="Times New Roman" w:hAnsi="Times New Roman" w:eastAsia="仿宋"/>
                <w:color w:val="000000"/>
                <w:kern w:val="0"/>
                <w:szCs w:val="21"/>
              </w:rPr>
              <w:t>0</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基础设施</w:t>
            </w:r>
          </w:p>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绿色指标</w:t>
            </w:r>
          </w:p>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（I</w:t>
            </w:r>
            <w:r>
              <w:rPr>
                <w:rFonts w:ascii="Times New Roman" w:hAnsi="Times New Roman" w:eastAsia="仿宋"/>
                <w:color w:val="000000"/>
                <w:kern w:val="0"/>
                <w:szCs w:val="21"/>
              </w:rPr>
              <w:t>G</w:t>
            </w:r>
            <w:r>
              <w:rPr>
                <w:rFonts w:hint="eastAsia" w:ascii="Times New Roman" w:hAnsi="Times New Roman" w:eastAsia="仿宋"/>
                <w:color w:val="000000"/>
                <w:kern w:val="0"/>
                <w:szCs w:val="21"/>
              </w:rPr>
              <w:t>）</w:t>
            </w: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18</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污水集中处理设施</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具备</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19</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新建工业</w:t>
            </w:r>
            <w:r>
              <w:rPr>
                <w:rFonts w:hint="eastAsia" w:ascii="Times New Roman" w:hAnsi="Times New Roman" w:eastAsia="仿宋"/>
                <w:color w:val="000000"/>
                <w:kern w:val="0"/>
                <w:szCs w:val="21"/>
              </w:rPr>
              <w:t>（</w:t>
            </w:r>
            <w:r>
              <w:rPr>
                <w:rFonts w:ascii="Times New Roman" w:hAnsi="Times New Roman" w:eastAsia="仿宋"/>
                <w:color w:val="000000"/>
                <w:kern w:val="0"/>
                <w:szCs w:val="21"/>
              </w:rPr>
              <w:t>公共</w:t>
            </w:r>
            <w:r>
              <w:rPr>
                <w:rFonts w:hint="eastAsia" w:ascii="Times New Roman" w:hAnsi="Times New Roman" w:eastAsia="仿宋"/>
                <w:color w:val="000000"/>
                <w:kern w:val="0"/>
                <w:szCs w:val="21"/>
              </w:rPr>
              <w:t>）</w:t>
            </w:r>
            <w:r>
              <w:rPr>
                <w:rFonts w:ascii="Times New Roman" w:hAnsi="Times New Roman" w:eastAsia="仿宋"/>
                <w:color w:val="000000"/>
                <w:kern w:val="0"/>
                <w:szCs w:val="21"/>
              </w:rPr>
              <w:t>建筑中绿色建筑的比例</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30</w:t>
            </w:r>
            <w:r>
              <w:rPr>
                <w:rFonts w:hint="eastAsia" w:ascii="Times New Roman" w:hAnsi="Times New Roman" w:eastAsia="仿宋"/>
                <w:color w:val="000000"/>
                <w:kern w:val="0"/>
                <w:szCs w:val="21"/>
              </w:rPr>
              <w:t>（6</w:t>
            </w:r>
            <w:r>
              <w:rPr>
                <w:rFonts w:ascii="Times New Roman" w:hAnsi="Times New Roman" w:eastAsia="仿宋"/>
                <w:color w:val="000000"/>
                <w:kern w:val="0"/>
                <w:szCs w:val="21"/>
              </w:rPr>
              <w:t>0</w:t>
            </w:r>
            <w:r>
              <w:rPr>
                <w:rFonts w:hint="eastAsia" w:ascii="Times New Roman" w:hAnsi="Times New Roman" w:eastAsia="仿宋"/>
                <w:color w:val="000000"/>
                <w:kern w:val="0"/>
                <w:szCs w:val="21"/>
              </w:rPr>
              <w:t>）</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2</w:t>
            </w:r>
            <w:r>
              <w:rPr>
                <w:rFonts w:ascii="Times New Roman" w:hAnsi="Times New Roman" w:eastAsia="仿宋"/>
                <w:color w:val="000000"/>
                <w:kern w:val="0"/>
                <w:szCs w:val="21"/>
              </w:rPr>
              <w:t>0</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节能与新能源公交车比例</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3</w:t>
            </w:r>
            <w:r>
              <w:rPr>
                <w:rFonts w:ascii="Times New Roman" w:hAnsi="Times New Roman" w:eastAsia="仿宋"/>
                <w:color w:val="000000"/>
                <w:kern w:val="0"/>
                <w:szCs w:val="21"/>
              </w:rPr>
              <w:t>0</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产业</w:t>
            </w:r>
          </w:p>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绿色指标</w:t>
            </w:r>
          </w:p>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（CG）</w:t>
            </w: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2</w:t>
            </w:r>
            <w:r>
              <w:rPr>
                <w:rFonts w:ascii="Times New Roman" w:hAnsi="Times New Roman" w:eastAsia="仿宋"/>
                <w:color w:val="000000"/>
                <w:kern w:val="0"/>
                <w:szCs w:val="21"/>
              </w:rPr>
              <w:t>1</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高新技术产业产值占园区工业总产值比例</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3</w:t>
            </w:r>
            <w:r>
              <w:rPr>
                <w:rFonts w:ascii="Times New Roman" w:hAnsi="Times New Roman" w:eastAsia="仿宋"/>
                <w:color w:val="000000"/>
                <w:kern w:val="0"/>
                <w:szCs w:val="21"/>
              </w:rPr>
              <w:t>0</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2</w:t>
            </w:r>
            <w:r>
              <w:rPr>
                <w:rFonts w:ascii="Times New Roman" w:hAnsi="Times New Roman" w:eastAsia="仿宋"/>
                <w:color w:val="000000"/>
                <w:kern w:val="0"/>
                <w:szCs w:val="21"/>
              </w:rPr>
              <w:t>2</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绿色产业增加值占园区工业增加值比例</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3</w:t>
            </w:r>
            <w:r>
              <w:rPr>
                <w:rFonts w:ascii="Times New Roman" w:hAnsi="Times New Roman" w:eastAsia="仿宋"/>
                <w:color w:val="000000"/>
                <w:kern w:val="0"/>
                <w:szCs w:val="21"/>
              </w:rPr>
              <w:t>0</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2</w:t>
            </w:r>
            <w:r>
              <w:rPr>
                <w:rFonts w:ascii="Times New Roman" w:hAnsi="Times New Roman" w:eastAsia="仿宋"/>
                <w:color w:val="000000"/>
                <w:kern w:val="0"/>
                <w:szCs w:val="21"/>
              </w:rPr>
              <w:t>3</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人均工业增加值</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万元/人</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1</w:t>
            </w:r>
            <w:r>
              <w:rPr>
                <w:rFonts w:ascii="Times New Roman" w:hAnsi="Times New Roman" w:eastAsia="仿宋"/>
                <w:color w:val="000000"/>
                <w:kern w:val="0"/>
                <w:szCs w:val="21"/>
              </w:rPr>
              <w:t>5</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生态环境</w:t>
            </w:r>
          </w:p>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绿色指标</w:t>
            </w:r>
          </w:p>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（HG）</w:t>
            </w: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2</w:t>
            </w:r>
            <w:r>
              <w:rPr>
                <w:rFonts w:ascii="Times New Roman" w:hAnsi="Times New Roman" w:eastAsia="仿宋"/>
                <w:color w:val="000000"/>
                <w:kern w:val="0"/>
                <w:szCs w:val="21"/>
              </w:rPr>
              <w:t>4</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工业固体废弃物（含危废）处置利用率</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1</w:t>
            </w:r>
            <w:r>
              <w:rPr>
                <w:rFonts w:ascii="Times New Roman" w:hAnsi="Times New Roman" w:eastAsia="仿宋"/>
                <w:color w:val="000000"/>
                <w:kern w:val="0"/>
                <w:szCs w:val="21"/>
              </w:rPr>
              <w:t>00</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2</w:t>
            </w:r>
            <w:r>
              <w:rPr>
                <w:rFonts w:ascii="Times New Roman" w:hAnsi="Times New Roman" w:eastAsia="仿宋"/>
                <w:color w:val="000000"/>
                <w:kern w:val="0"/>
                <w:szCs w:val="21"/>
              </w:rPr>
              <w:t>5</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万元工业增加值碳排放量消减率</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3</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2</w:t>
            </w:r>
            <w:r>
              <w:rPr>
                <w:rFonts w:ascii="Times New Roman" w:hAnsi="Times New Roman" w:eastAsia="仿宋"/>
                <w:color w:val="000000"/>
                <w:kern w:val="0"/>
                <w:szCs w:val="21"/>
              </w:rPr>
              <w:t>6</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单位工业增加值废水排放量</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t/万元</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2</w:t>
            </w:r>
            <w:r>
              <w:rPr>
                <w:rFonts w:ascii="Times New Roman" w:hAnsi="Times New Roman" w:eastAsia="仿宋"/>
                <w:color w:val="000000"/>
                <w:kern w:val="0"/>
                <w:szCs w:val="21"/>
              </w:rPr>
              <w:t>7</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主要污染物弹性系数</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0</w:t>
            </w:r>
            <w:r>
              <w:rPr>
                <w:rFonts w:ascii="Times New Roman" w:hAnsi="Times New Roman" w:eastAsia="仿宋"/>
                <w:color w:val="000000"/>
                <w:kern w:val="0"/>
                <w:szCs w:val="21"/>
              </w:rPr>
              <w:t>.3</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2</w:t>
            </w:r>
            <w:r>
              <w:rPr>
                <w:rFonts w:ascii="Times New Roman" w:hAnsi="Times New Roman" w:eastAsia="仿宋"/>
                <w:color w:val="000000"/>
                <w:kern w:val="0"/>
                <w:szCs w:val="21"/>
              </w:rPr>
              <w:t>8</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园区空气质量优良率</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8</w:t>
            </w:r>
            <w:r>
              <w:rPr>
                <w:rFonts w:ascii="Times New Roman" w:hAnsi="Times New Roman" w:eastAsia="仿宋"/>
                <w:color w:val="000000"/>
                <w:kern w:val="0"/>
                <w:szCs w:val="21"/>
              </w:rPr>
              <w:t>0</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29</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绿化覆盖率</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3</w:t>
            </w:r>
            <w:r>
              <w:rPr>
                <w:rFonts w:ascii="Times New Roman" w:hAnsi="Times New Roman" w:eastAsia="仿宋"/>
                <w:color w:val="000000"/>
                <w:kern w:val="0"/>
                <w:szCs w:val="21"/>
              </w:rPr>
              <w:t>0</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restart"/>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运行管理</w:t>
            </w:r>
          </w:p>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绿色指标</w:t>
            </w:r>
          </w:p>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（MG）</w:t>
            </w:r>
          </w:p>
        </w:tc>
        <w:tc>
          <w:tcPr>
            <w:tcW w:w="685"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30</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园区绿色标准体系完善程度</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完善</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31</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编制园区绿色发展规划</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是</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Merge w:val="continue"/>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32</w:t>
            </w:r>
          </w:p>
        </w:tc>
        <w:tc>
          <w:tcPr>
            <w:tcW w:w="3174"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园区绿色信息平台完善程度</w:t>
            </w:r>
          </w:p>
        </w:tc>
        <w:tc>
          <w:tcPr>
            <w:tcW w:w="858" w:type="dxa"/>
            <w:vAlign w:val="center"/>
          </w:tcPr>
          <w:p>
            <w:pPr>
              <w:widowControl/>
              <w:jc w:val="center"/>
              <w:rPr>
                <w:rFonts w:ascii="Times New Roman" w:hAnsi="Times New Roman" w:eastAsia="仿宋"/>
                <w:color w:val="000000"/>
                <w:kern w:val="0"/>
                <w:szCs w:val="21"/>
              </w:rPr>
            </w:pPr>
            <w:r>
              <w:rPr>
                <w:rFonts w:ascii="Times New Roman" w:hAnsi="Times New Roman" w:eastAsia="仿宋"/>
                <w:color w:val="000000"/>
                <w:kern w:val="0"/>
                <w:szCs w:val="21"/>
              </w:rPr>
              <w:t>-</w:t>
            </w:r>
          </w:p>
        </w:tc>
        <w:tc>
          <w:tcPr>
            <w:tcW w:w="850"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完善</w:t>
            </w:r>
          </w:p>
        </w:tc>
        <w:tc>
          <w:tcPr>
            <w:tcW w:w="709" w:type="dxa"/>
            <w:vAlign w:val="center"/>
          </w:tcPr>
          <w:p>
            <w:pPr>
              <w:widowControl/>
              <w:jc w:val="center"/>
              <w:rPr>
                <w:rFonts w:ascii="Times New Roman" w:hAnsi="Times New Roman" w:eastAsia="仿宋"/>
                <w:color w:val="000000"/>
                <w:kern w:val="0"/>
                <w:szCs w:val="21"/>
              </w:rPr>
            </w:pPr>
            <w:r>
              <w:rPr>
                <w:rFonts w:hint="eastAsia" w:ascii="Times New Roman" w:hAnsi="Times New Roman" w:eastAsia="仿宋"/>
                <w:color w:val="000000"/>
                <w:kern w:val="0"/>
                <w:szCs w:val="21"/>
              </w:rPr>
              <w:t>5</w:t>
            </w:r>
            <w:r>
              <w:rPr>
                <w:rFonts w:ascii="Times New Roman" w:hAnsi="Times New Roman" w:eastAsia="仿宋"/>
                <w:color w:val="000000"/>
                <w:kern w:val="0"/>
                <w:szCs w:val="21"/>
              </w:rPr>
              <w:t>.0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1134" w:type="dxa"/>
            <w:vAlign w:val="center"/>
          </w:tcPr>
          <w:p>
            <w:pPr>
              <w:widowControl/>
              <w:jc w:val="center"/>
              <w:rPr>
                <w:rFonts w:ascii="Times New Roman" w:hAnsi="Times New Roman" w:eastAsia="仿宋"/>
                <w:color w:val="000000"/>
                <w:kern w:val="0"/>
                <w:szCs w:val="21"/>
              </w:rPr>
            </w:pPr>
          </w:p>
        </w:tc>
        <w:tc>
          <w:tcPr>
            <w:tcW w:w="685" w:type="dxa"/>
            <w:vAlign w:val="center"/>
          </w:tcPr>
          <w:p>
            <w:pPr>
              <w:widowControl/>
              <w:jc w:val="center"/>
              <w:rPr>
                <w:rFonts w:ascii="Times New Roman" w:hAnsi="Times New Roman" w:eastAsia="仿宋"/>
                <w:color w:val="000000"/>
                <w:kern w:val="0"/>
                <w:szCs w:val="21"/>
              </w:rPr>
            </w:pPr>
          </w:p>
        </w:tc>
        <w:tc>
          <w:tcPr>
            <w:tcW w:w="3174" w:type="dxa"/>
            <w:vAlign w:val="center"/>
          </w:tcPr>
          <w:p>
            <w:pPr>
              <w:widowControl/>
              <w:jc w:val="center"/>
              <w:rPr>
                <w:rFonts w:ascii="Times New Roman" w:hAnsi="Times New Roman" w:eastAsia="仿宋"/>
                <w:color w:val="000000"/>
                <w:kern w:val="0"/>
                <w:szCs w:val="21"/>
              </w:rPr>
            </w:pPr>
          </w:p>
        </w:tc>
        <w:tc>
          <w:tcPr>
            <w:tcW w:w="858" w:type="dxa"/>
            <w:vAlign w:val="center"/>
          </w:tcPr>
          <w:p>
            <w:pPr>
              <w:widowControl/>
              <w:jc w:val="center"/>
              <w:rPr>
                <w:rFonts w:ascii="Times New Roman" w:hAnsi="Times New Roman" w:eastAsia="仿宋"/>
                <w:color w:val="000000"/>
                <w:kern w:val="0"/>
                <w:szCs w:val="21"/>
              </w:rPr>
            </w:pPr>
          </w:p>
        </w:tc>
        <w:tc>
          <w:tcPr>
            <w:tcW w:w="850" w:type="dxa"/>
            <w:vAlign w:val="center"/>
          </w:tcPr>
          <w:p>
            <w:pPr>
              <w:widowControl/>
              <w:jc w:val="center"/>
              <w:rPr>
                <w:rFonts w:hint="eastAsia" w:ascii="Times New Roman" w:hAnsi="Times New Roman" w:eastAsia="仿宋"/>
                <w:color w:val="000000"/>
                <w:kern w:val="0"/>
                <w:szCs w:val="21"/>
              </w:rPr>
            </w:pPr>
          </w:p>
        </w:tc>
        <w:tc>
          <w:tcPr>
            <w:tcW w:w="709" w:type="dxa"/>
            <w:vAlign w:val="center"/>
          </w:tcPr>
          <w:p>
            <w:pPr>
              <w:widowControl/>
              <w:jc w:val="center"/>
              <w:rPr>
                <w:rFonts w:hint="default" w:ascii="Times New Roman" w:hAnsi="Times New Roman" w:eastAsia="仿宋"/>
                <w:color w:val="000000"/>
                <w:kern w:val="0"/>
                <w:szCs w:val="21"/>
                <w:lang w:val="en-US" w:eastAsia="zh-CN"/>
              </w:rPr>
            </w:pPr>
            <w:r>
              <w:rPr>
                <w:rFonts w:hint="eastAsia" w:ascii="Times New Roman" w:hAnsi="Times New Roman" w:eastAsia="仿宋"/>
                <w:color w:val="000000"/>
                <w:kern w:val="0"/>
                <w:szCs w:val="21"/>
                <w:lang w:val="en-US" w:eastAsia="zh-CN"/>
              </w:rPr>
              <w:t>100</w:t>
            </w:r>
          </w:p>
        </w:tc>
        <w:tc>
          <w:tcPr>
            <w:tcW w:w="852" w:type="dxa"/>
            <w:vAlign w:val="center"/>
          </w:tcPr>
          <w:p>
            <w:pPr>
              <w:widowControl/>
              <w:jc w:val="center"/>
              <w:rPr>
                <w:rFonts w:ascii="Times New Roman" w:hAnsi="Times New Roman" w:eastAsia="仿宋"/>
                <w:color w:val="000000"/>
                <w:kern w:val="0"/>
                <w:szCs w:val="21"/>
              </w:rPr>
            </w:pPr>
          </w:p>
        </w:tc>
        <w:tc>
          <w:tcPr>
            <w:tcW w:w="851" w:type="dxa"/>
            <w:vAlign w:val="center"/>
          </w:tcPr>
          <w:p>
            <w:pPr>
              <w:widowControl/>
              <w:jc w:val="center"/>
              <w:rPr>
                <w:rFonts w:ascii="Times New Roman" w:hAnsi="Times New Roman" w:eastAsia="仿宋"/>
                <w:color w:val="000000"/>
                <w:kern w:val="0"/>
                <w:szCs w:val="21"/>
              </w:rPr>
            </w:pPr>
          </w:p>
        </w:tc>
      </w:tr>
    </w:tbl>
    <w:p>
      <w:pPr>
        <w:rPr>
          <w:rFonts w:ascii="黑体" w:hAnsi="黑体" w:eastAsia="黑体"/>
          <w:color w:val="000000"/>
          <w:sz w:val="32"/>
          <w:szCs w:val="32"/>
        </w:rPr>
      </w:pPr>
    </w:p>
    <w:p>
      <w:pPr>
        <w:widowControl/>
        <w:jc w:val="left"/>
        <w:rPr>
          <w:rFonts w:ascii="仿宋_GB2312" w:hAnsi="宋体" w:eastAsia="仿宋_GB2312"/>
          <w:color w:val="000000"/>
          <w:kern w:val="0"/>
          <w:szCs w:val="21"/>
        </w:rPr>
        <w:sectPr>
          <w:pgSz w:w="11906" w:h="16838"/>
          <w:pgMar w:top="1701" w:right="1474" w:bottom="1701" w:left="1588" w:header="851" w:footer="992" w:gutter="0"/>
          <w:cols w:space="425" w:num="1"/>
          <w:docGrid w:type="linesAndChars" w:linePitch="312" w:charSpace="0"/>
        </w:sectPr>
      </w:pPr>
    </w:p>
    <w:p>
      <w:pPr>
        <w:jc w:val="center"/>
        <w:rPr>
          <w:rFonts w:ascii="黑体" w:hAnsi="黑体" w:eastAsia="黑体"/>
          <w:color w:val="000000"/>
          <w:sz w:val="32"/>
          <w:szCs w:val="32"/>
        </w:rPr>
      </w:pPr>
      <w:r>
        <w:rPr>
          <w:rFonts w:hint="eastAsia" w:ascii="黑体" w:hAnsi="黑体" w:eastAsia="黑体"/>
          <w:color w:val="000000"/>
          <w:sz w:val="32"/>
          <w:szCs w:val="32"/>
        </w:rPr>
        <w:t>三、绿色园区自评报告</w:t>
      </w:r>
    </w:p>
    <w:p>
      <w:pPr>
        <w:spacing w:line="540" w:lineRule="exact"/>
        <w:rPr>
          <w:rFonts w:ascii="仿宋_GB2312" w:hAnsi="Times New Roman" w:eastAsia="仿宋_GB2312"/>
          <w:color w:val="000000"/>
          <w:sz w:val="24"/>
          <w:szCs w:val="24"/>
        </w:rPr>
      </w:pP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（一）园区基本情况</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概述园区的基本信息、功能区划、产业发展现状以及在绿色发展方面开展的重点工作及取得的成绩等。</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（二）绿色工业园区创建情况</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对照《绿色工业园区自评表》，对园区基本要求的符合性以及能源利用、资源利用、基础设施、产业、生态环境、运行管理等方面的内容进行情况描述。</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1、基本要求的符合性。说明园区对《绿色工业园区自评表》中基本要求的符合性情况。</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2、能源利用。主要描述园区能源利用的情况，已采用的先进能源利用技术说明，实施情况和现场照片，以及相关指标得分情况。</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3、资源利用。主要描述园区资源利用的情况，已采用的先进资源利用技术说明，实施情况和现场照片，以及相关指标得分情况。</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4、基础设施。主要描述园区基础设施情况，已采用的先进基础设施技术说明，实施情况和现场照片，以及相关指标得分情况。</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5、产业。主要描述园区产业结构情况，促进产业结构绿色转型升级采取的措施说明，以及相关指标得分情况。</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6、生态环境。主要描述园区生态环境情况，已采用的先进环境保护技术说明，实施情况和现场照片，以及相关指标得分情况。</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7、运行管理。主要描述园区运行管理情况，已采用的先进运行管理手段说明，实施情况和现场照片，以及相关指标得分情况。</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（三）绿色工业园区创建总结</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对照《绿色工业园区自评表》，对园区基本要求的符合性以及能源利用、资源利用、基础设施、产业、生态环境、运行管理等方面进行自评打分。</w:t>
      </w:r>
    </w:p>
    <w:p>
      <w:pPr>
        <w:widowControl/>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（四）相关证明材料</w:t>
      </w:r>
    </w:p>
    <w:p>
      <w:pPr>
        <w:widowControl/>
        <w:adjustRightInd w:val="0"/>
        <w:snapToGrid w:val="0"/>
        <w:spacing w:line="540" w:lineRule="exact"/>
        <w:ind w:firstLine="640" w:firstLineChars="200"/>
        <w:jc w:val="left"/>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与基本要求和指标测算相关的证明材料。</w:t>
      </w:r>
    </w:p>
    <w:p>
      <w:pPr>
        <w:widowControl/>
        <w:adjustRightInd w:val="0"/>
        <w:snapToGrid w:val="0"/>
        <w:spacing w:line="540" w:lineRule="exact"/>
        <w:ind w:firstLine="560" w:firstLineChars="200"/>
        <w:jc w:val="left"/>
        <w:rPr>
          <w:rFonts w:ascii="楷体_GB2312" w:hAnsi="微软雅黑" w:eastAsia="楷体_GB2312" w:cs="宋体"/>
          <w:bCs/>
          <w:color w:val="000000"/>
          <w:kern w:val="0"/>
          <w:sz w:val="28"/>
          <w:szCs w:val="28"/>
        </w:rPr>
      </w:pPr>
    </w:p>
    <w:p>
      <w:pPr>
        <w:spacing w:line="540" w:lineRule="exact"/>
        <w:jc w:val="center"/>
        <w:outlineLvl w:val="0"/>
        <w:rPr>
          <w:rFonts w:ascii="黑体" w:hAnsi="黑体" w:eastAsia="黑体"/>
          <w:color w:val="000000"/>
          <w:sz w:val="32"/>
          <w:szCs w:val="32"/>
        </w:rPr>
        <w:sectPr>
          <w:pgSz w:w="11906" w:h="16838"/>
          <w:pgMar w:top="2098" w:right="1474" w:bottom="1814" w:left="1588" w:header="851" w:footer="992" w:gutter="0"/>
          <w:cols w:space="425" w:num="1"/>
          <w:docGrid w:type="lines" w:linePitch="312" w:charSpace="0"/>
        </w:sectPr>
      </w:pPr>
    </w:p>
    <w:p>
      <w:pPr>
        <w:spacing w:line="540" w:lineRule="exact"/>
        <w:jc w:val="center"/>
        <w:rPr>
          <w:rFonts w:ascii="黑体" w:hAnsi="黑体" w:eastAsia="黑体"/>
          <w:color w:val="000000"/>
          <w:sz w:val="32"/>
          <w:szCs w:val="32"/>
        </w:rPr>
      </w:pPr>
      <w:r>
        <w:rPr>
          <w:rFonts w:hint="eastAsia" w:ascii="黑体" w:hAnsi="黑体" w:eastAsia="黑体"/>
          <w:color w:val="000000"/>
          <w:sz w:val="32"/>
          <w:szCs w:val="32"/>
        </w:rPr>
        <w:t>四、绿色园区评价方法</w:t>
      </w:r>
    </w:p>
    <w:p>
      <w:pPr>
        <w:spacing w:line="360" w:lineRule="auto"/>
        <w:rPr>
          <w:rFonts w:ascii="Times New Roman" w:hAnsi="Times New Roman" w:eastAsia="仿宋" w:cs="宋体"/>
          <w:color w:val="000000"/>
          <w:kern w:val="0"/>
          <w:sz w:val="32"/>
          <w:szCs w:val="32"/>
        </w:rPr>
      </w:pP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工业园区绿色指数</w:t>
      </w:r>
      <w:r>
        <w:rPr>
          <w:rFonts w:hint="eastAsia" w:ascii="Times New Roman" w:hAnsi="Times New Roman" w:eastAsia="仿宋" w:cs="宋体"/>
          <w:color w:val="000000"/>
          <w:kern w:val="0"/>
          <w:sz w:val="32"/>
          <w:szCs w:val="32"/>
        </w:rPr>
        <w:t>自评分=</w:t>
      </w:r>
      <w:r>
        <w:rPr>
          <w:rFonts w:ascii="Times New Roman" w:hAnsi="Times New Roman" w:eastAsia="仿宋" w:cs="宋体"/>
          <w:color w:val="000000"/>
          <w:kern w:val="0"/>
          <w:sz w:val="32"/>
          <w:szCs w:val="32"/>
        </w:rPr>
        <w:t>指标值</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引领值</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5.0</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单项指标满分5</w:t>
      </w:r>
      <w:r>
        <w:rPr>
          <w:rFonts w:ascii="Times New Roman" w:hAnsi="Times New Roman" w:eastAsia="仿宋" w:cs="宋体"/>
          <w:color w:val="000000"/>
          <w:kern w:val="0"/>
          <w:sz w:val="32"/>
          <w:szCs w:val="32"/>
        </w:rPr>
        <w:t>.0</w:t>
      </w:r>
      <w:r>
        <w:rPr>
          <w:rFonts w:hint="eastAsia" w:ascii="Times New Roman" w:hAnsi="Times New Roman" w:eastAsia="仿宋" w:cs="宋体"/>
          <w:color w:val="000000"/>
          <w:kern w:val="0"/>
          <w:sz w:val="32"/>
          <w:szCs w:val="32"/>
        </w:rPr>
        <w:t>分，总分1</w:t>
      </w:r>
      <w:r>
        <w:rPr>
          <w:rFonts w:ascii="Times New Roman" w:hAnsi="Times New Roman" w:eastAsia="仿宋" w:cs="宋体"/>
          <w:color w:val="000000"/>
          <w:kern w:val="0"/>
          <w:sz w:val="32"/>
          <w:szCs w:val="32"/>
        </w:rPr>
        <w:t>20</w:t>
      </w:r>
      <w:r>
        <w:rPr>
          <w:rFonts w:hint="eastAsia" w:ascii="Times New Roman" w:hAnsi="Times New Roman" w:eastAsia="仿宋" w:cs="宋体"/>
          <w:color w:val="000000"/>
          <w:kern w:val="0"/>
          <w:sz w:val="32"/>
          <w:szCs w:val="32"/>
        </w:rPr>
        <w:t>分。</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注：正向指标（越大越好的指标）和逆向指标（越小越好的指标）数值的无量纲化分别采用指标值/</w:t>
      </w:r>
      <w:r>
        <w:rPr>
          <w:rFonts w:hint="eastAsia" w:ascii="Times New Roman" w:hAnsi="Times New Roman" w:eastAsia="仿宋" w:cs="宋体"/>
          <w:color w:val="000000"/>
          <w:kern w:val="0"/>
          <w:sz w:val="32"/>
          <w:szCs w:val="32"/>
        </w:rPr>
        <w:t>引领</w:t>
      </w:r>
      <w:r>
        <w:rPr>
          <w:rFonts w:ascii="Times New Roman" w:hAnsi="Times New Roman" w:eastAsia="仿宋" w:cs="宋体"/>
          <w:color w:val="000000"/>
          <w:kern w:val="0"/>
          <w:sz w:val="32"/>
          <w:szCs w:val="32"/>
        </w:rPr>
        <w:t>值、</w:t>
      </w:r>
      <w:r>
        <w:rPr>
          <w:rFonts w:hint="eastAsia" w:ascii="Times New Roman" w:hAnsi="Times New Roman" w:eastAsia="仿宋" w:cs="宋体"/>
          <w:color w:val="000000"/>
          <w:kern w:val="0"/>
          <w:sz w:val="32"/>
          <w:szCs w:val="32"/>
        </w:rPr>
        <w:t>引领值</w:t>
      </w:r>
      <w:r>
        <w:rPr>
          <w:rFonts w:ascii="Times New Roman" w:hAnsi="Times New Roman" w:eastAsia="仿宋" w:cs="宋体"/>
          <w:color w:val="000000"/>
          <w:kern w:val="0"/>
          <w:sz w:val="32"/>
          <w:szCs w:val="32"/>
        </w:rPr>
        <w:t>值/指标值。在全部指标中，单位工业增加值废水排放量和主要污染物弹性系数属于逆向指标，无量纲化方法采用</w:t>
      </w:r>
      <w:r>
        <w:rPr>
          <w:rFonts w:hint="eastAsia" w:ascii="Times New Roman" w:hAnsi="Times New Roman" w:eastAsia="仿宋" w:cs="宋体"/>
          <w:color w:val="000000"/>
          <w:kern w:val="0"/>
          <w:sz w:val="32"/>
          <w:szCs w:val="32"/>
        </w:rPr>
        <w:t>引领</w:t>
      </w:r>
      <w:r>
        <w:rPr>
          <w:rFonts w:ascii="Times New Roman" w:hAnsi="Times New Roman" w:eastAsia="仿宋" w:cs="宋体"/>
          <w:color w:val="000000"/>
          <w:kern w:val="0"/>
          <w:sz w:val="32"/>
          <w:szCs w:val="32"/>
        </w:rPr>
        <w:t>值/指标值。</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（一）</w:t>
      </w:r>
      <w:r>
        <w:rPr>
          <w:rFonts w:ascii="Times New Roman" w:hAnsi="Times New Roman" w:eastAsia="仿宋" w:cs="宋体"/>
          <w:color w:val="000000"/>
          <w:kern w:val="0"/>
          <w:sz w:val="32"/>
          <w:szCs w:val="32"/>
        </w:rPr>
        <w:t>能源利用化绿色指标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能源利用绿色化指标包括能源产出率和可再生能源使用比例、清洁能源使用率3个指标。</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1、</w:t>
      </w:r>
      <w:r>
        <w:rPr>
          <w:rFonts w:ascii="Times New Roman" w:hAnsi="Times New Roman" w:eastAsia="仿宋" w:cs="宋体"/>
          <w:color w:val="000000"/>
          <w:kern w:val="0"/>
          <w:sz w:val="32"/>
          <w:szCs w:val="32"/>
        </w:rPr>
        <w:t>能源产出率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指标解释：指报告期内园区工业增加值与能源消耗总量的比值，该项指标越大，表明能源产出效率越高。能源主要包括原煤、原油、天然气、核电、水电、风电等一次能源。工业增加值采用2010年不变价，下同。</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计算公式：能源产出率=园区工业增加值（万元不变价）/能源综合消耗总量（tce）。</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2</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可再生能源使用比例</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指标解释：园区内工业企业的可再生能源使用量与综合能耗总量的比值。可再生能源包括太阳能、水能、生物质能、地热能、氢能、波浪能等非化石能源。</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计算公式：可再生能源使用比例（%）=工业企业可再生能源使用量（tce）/工业企业综合能耗总量（tce）×100%。</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3、</w:t>
      </w:r>
      <w:r>
        <w:rPr>
          <w:rFonts w:ascii="Times New Roman" w:hAnsi="Times New Roman" w:eastAsia="仿宋" w:cs="宋体"/>
          <w:color w:val="000000"/>
          <w:kern w:val="0"/>
          <w:sz w:val="32"/>
          <w:szCs w:val="32"/>
        </w:rPr>
        <w:t>清洁能源使用率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指清洁能源使用量与园区终端能源消费总量之比，能源使用量均按标煤计。其中，清洁能源包括用作燃烧的天然气、焦炉煤气、其他煤气、炼厂干气、液化石油气等清洁燃气、电和低硫轻柴油等清洁燃油（不包括机动车用燃油）。</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计算公式：清洁能源使用率（%）=清洁能源使用量（tce）/终端能源消费总量（tce）×100%。</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（二）</w:t>
      </w:r>
      <w:r>
        <w:rPr>
          <w:rFonts w:ascii="Times New Roman" w:hAnsi="Times New Roman" w:eastAsia="仿宋" w:cs="宋体"/>
          <w:color w:val="000000"/>
          <w:kern w:val="0"/>
          <w:sz w:val="32"/>
          <w:szCs w:val="32"/>
        </w:rPr>
        <w:t>资源利用绿色化指标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资源利用绿色化指标包括水资源产出率、土地资源产出率、工业固体废弃物综合利用率、工业用水重复利用率</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中水回用率、余热资源回收利用率6个指标。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1</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水资源产出率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指报告期内园区消耗单位新鲜水量所创造的工业增加值。工业用新鲜水量：指报告期内企业厂区内用于生产和生活的新鲜水量（生活用水单独计量且生活污水不与工业废水混排的除外），它等于企业从城市自来水取用的水量和企业自备水用量之和。</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计算公式：水资源产出率= 园区工业增加值（万元不变价）/园区工业用新鲜水量（m</w:t>
      </w:r>
      <w:r>
        <w:rPr>
          <w:rFonts w:ascii="Times New Roman" w:hAnsi="Times New Roman" w:eastAsia="仿宋" w:cs="宋体"/>
          <w:color w:val="000000"/>
          <w:kern w:val="0"/>
          <w:sz w:val="32"/>
          <w:szCs w:val="32"/>
          <w:vertAlign w:val="superscript"/>
        </w:rPr>
        <w:t>3</w:t>
      </w:r>
      <w:r>
        <w:rPr>
          <w:rFonts w:ascii="Times New Roman" w:hAnsi="Times New Roman" w:eastAsia="仿宋" w:cs="宋体"/>
          <w:color w:val="000000"/>
          <w:kern w:val="0"/>
          <w:sz w:val="32"/>
          <w:szCs w:val="32"/>
        </w:rPr>
        <w:t>）。</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2、</w:t>
      </w:r>
      <w:r>
        <w:rPr>
          <w:rFonts w:ascii="Times New Roman" w:hAnsi="Times New Roman" w:eastAsia="仿宋" w:cs="宋体"/>
          <w:color w:val="000000"/>
          <w:kern w:val="0"/>
          <w:sz w:val="32"/>
          <w:szCs w:val="32"/>
        </w:rPr>
        <w:t>土地资源产出率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指报告期内园区单位工业用地面积产生的工业增加值。工业用地面积指工业园区规划建设范围内按照土地规划作为工业用地并已投入生产的土地面积。工业用地指工矿企业的生产车间、库房及其附属设施等用地，包括专用的铁路、码头和道路等用地，不包括露天矿用地。</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计算公式：土地产出率=园区工业增加值（万元不变价）/园区工业用地面积（km</w:t>
      </w:r>
      <w:r>
        <w:rPr>
          <w:rFonts w:ascii="Times New Roman" w:hAnsi="Times New Roman" w:eastAsia="仿宋" w:cs="宋体"/>
          <w:color w:val="000000"/>
          <w:kern w:val="0"/>
          <w:sz w:val="32"/>
          <w:szCs w:val="32"/>
          <w:vertAlign w:val="superscript"/>
        </w:rPr>
        <w:t>2</w:t>
      </w:r>
      <w:r>
        <w:rPr>
          <w:rFonts w:ascii="Times New Roman" w:hAnsi="Times New Roman" w:eastAsia="仿宋" w:cs="宋体"/>
          <w:color w:val="000000"/>
          <w:kern w:val="0"/>
          <w:sz w:val="32"/>
          <w:szCs w:val="32"/>
        </w:rPr>
        <w:t>）。</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3</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工业固体废弃物综合利用率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指标解释：指工业固体废物综合利用量占工业固体废物产生量</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包括综合利用往年贮存量</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的百分率。工业固体废物综合利用量指报告期内企业通过回收、加工、循环、交换等方式，从固体废物中提取或者使其转化为可以利用的资源、能源和其他原材料的固体废物量</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包括当年利用往年的工业固体废物贮存量</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，如用作农业肥料、生产建筑材料、筑路等。综合利用量由原产生固体废物的单位统计。</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计算公式：工业固体废弃物综合利用率=工业固体废弃物综合利用量（t）/（工业固体废弃物产生量+综合利用往年贮存量(t)）×100%。</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4、</w:t>
      </w:r>
      <w:r>
        <w:rPr>
          <w:rFonts w:ascii="Times New Roman" w:hAnsi="Times New Roman" w:eastAsia="仿宋" w:cs="宋体"/>
          <w:color w:val="000000"/>
          <w:kern w:val="0"/>
          <w:sz w:val="32"/>
          <w:szCs w:val="32"/>
        </w:rPr>
        <w:t>工业用水重复利用率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指工业重复用水量占工业用水总量的百分率。工业重复用水量指报告期内企业生产用水中重复再利用的水量，包括循环使用、一水多用和串级使用的水量（含经处理后回用量）。工业用水总量指报告期内企业厂区内用于生产和生活的水量，它等于工业用新鲜水量与工业重复用水量之和。</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计算公式：工业用水重复利用率=工业重复用水量（m</w:t>
      </w:r>
      <w:r>
        <w:rPr>
          <w:rFonts w:ascii="Times New Roman" w:hAnsi="Times New Roman" w:eastAsia="仿宋" w:cs="宋体"/>
          <w:color w:val="000000"/>
          <w:kern w:val="0"/>
          <w:sz w:val="32"/>
          <w:szCs w:val="32"/>
          <w:vertAlign w:val="superscript"/>
        </w:rPr>
        <w:t>3</w:t>
      </w:r>
      <w:r>
        <w:rPr>
          <w:rFonts w:ascii="Times New Roman" w:hAnsi="Times New Roman" w:eastAsia="仿宋" w:cs="宋体"/>
          <w:color w:val="000000"/>
          <w:kern w:val="0"/>
          <w:sz w:val="32"/>
          <w:szCs w:val="32"/>
        </w:rPr>
        <w:t>）/工业用水总量（m</w:t>
      </w:r>
      <w:r>
        <w:rPr>
          <w:rFonts w:ascii="Times New Roman" w:hAnsi="Times New Roman" w:eastAsia="仿宋" w:cs="宋体"/>
          <w:color w:val="000000"/>
          <w:kern w:val="0"/>
          <w:sz w:val="32"/>
          <w:szCs w:val="32"/>
          <w:vertAlign w:val="superscript"/>
        </w:rPr>
        <w:t>3</w:t>
      </w:r>
      <w:r>
        <w:rPr>
          <w:rFonts w:ascii="Times New Roman" w:hAnsi="Times New Roman" w:eastAsia="仿宋" w:cs="宋体"/>
          <w:color w:val="000000"/>
          <w:kern w:val="0"/>
          <w:sz w:val="32"/>
          <w:szCs w:val="32"/>
        </w:rPr>
        <w:t>）×100%。</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5</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中水回用率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指标解释：指园区内再生水的回用量与污水处理厂处理量的比值。其中，再生水（中水）是指二级达标水经再生工艺净化处理后，达到中水水质指标要求，满足某种使用要求的水。</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计算公式：中水</w:t>
      </w:r>
      <w:r>
        <w:rPr>
          <w:rFonts w:hint="eastAsia" w:ascii="Times New Roman" w:hAnsi="Times New Roman" w:eastAsia="仿宋" w:cs="宋体"/>
          <w:color w:val="000000"/>
          <w:kern w:val="0"/>
          <w:sz w:val="32"/>
          <w:szCs w:val="32"/>
        </w:rPr>
        <w:t>回</w:t>
      </w:r>
      <w:r>
        <w:rPr>
          <w:rFonts w:ascii="Times New Roman" w:hAnsi="Times New Roman" w:eastAsia="仿宋" w:cs="宋体"/>
          <w:color w:val="000000"/>
          <w:kern w:val="0"/>
          <w:sz w:val="32"/>
          <w:szCs w:val="32"/>
        </w:rPr>
        <w:t>用率（%）=园区再生水（中水）回用量（万吨）/园区污水处理厂处理量（万吨）×100%。</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6、</w:t>
      </w:r>
      <w:r>
        <w:rPr>
          <w:rFonts w:ascii="Times New Roman" w:hAnsi="Times New Roman" w:eastAsia="仿宋" w:cs="宋体"/>
          <w:color w:val="000000"/>
          <w:kern w:val="0"/>
          <w:sz w:val="32"/>
          <w:szCs w:val="32"/>
        </w:rPr>
        <w:t>余热资源回收利用率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已回收利用的余热占园区余热资源的比重。它是反映企业余热资源回收利用程度的重要指标。余热回收利用是回收生产工艺过程中排出的具有高于环境温度的气态（如高温烟气）、液态（如冷却水）、固态（如各种高温钢材）物质所载有的热能，并加以利用的过程。园区余热资源量按照GB/T 1028计算。</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计算公式：余热资源回收利用率（%）=回收利用的余热资源量（kJ）/园区总余热资源量（kJ）×100%。</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（三）</w:t>
      </w:r>
      <w:r>
        <w:rPr>
          <w:rFonts w:ascii="Times New Roman" w:hAnsi="Times New Roman" w:eastAsia="仿宋" w:cs="宋体"/>
          <w:color w:val="000000"/>
          <w:kern w:val="0"/>
          <w:sz w:val="32"/>
          <w:szCs w:val="32"/>
        </w:rPr>
        <w:t>基础设施绿色化指标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基础设施绿色化指标包括污水集中处理设施</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新建工业</w:t>
      </w:r>
      <w:r>
        <w:rPr>
          <w:rFonts w:hint="eastAsia" w:ascii="Times New Roman" w:hAnsi="Times New Roman" w:eastAsia="仿宋" w:cs="宋体"/>
          <w:color w:val="000000"/>
          <w:kern w:val="0"/>
          <w:sz w:val="32"/>
          <w:szCs w:val="32"/>
        </w:rPr>
        <w:t>（公共）</w:t>
      </w:r>
      <w:r>
        <w:rPr>
          <w:rFonts w:ascii="Times New Roman" w:hAnsi="Times New Roman" w:eastAsia="仿宋" w:cs="宋体"/>
          <w:color w:val="000000"/>
          <w:kern w:val="0"/>
          <w:sz w:val="32"/>
          <w:szCs w:val="32"/>
        </w:rPr>
        <w:t>建筑中绿色建筑的比例、节能与新能源公交车比例3个指标。</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1、</w:t>
      </w:r>
      <w:r>
        <w:rPr>
          <w:rFonts w:ascii="Times New Roman" w:hAnsi="Times New Roman" w:eastAsia="仿宋" w:cs="宋体"/>
          <w:color w:val="000000"/>
          <w:kern w:val="0"/>
          <w:sz w:val="32"/>
          <w:szCs w:val="32"/>
        </w:rPr>
        <w:t>污水集中处理设施</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指标解释：园区内所有工业废水经预处理达到集中处理要求后进入安装有自动在线监控装置的污水集中处理设施（园区内或园区外）。</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2</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新建工业</w:t>
      </w:r>
      <w:r>
        <w:rPr>
          <w:rFonts w:hint="eastAsia" w:ascii="Times New Roman" w:hAnsi="Times New Roman" w:eastAsia="仿宋" w:cs="宋体"/>
          <w:color w:val="000000"/>
          <w:kern w:val="0"/>
          <w:sz w:val="32"/>
          <w:szCs w:val="32"/>
        </w:rPr>
        <w:t>（公共）</w:t>
      </w:r>
      <w:r>
        <w:rPr>
          <w:rFonts w:ascii="Times New Roman" w:hAnsi="Times New Roman" w:eastAsia="仿宋" w:cs="宋体"/>
          <w:color w:val="000000"/>
          <w:kern w:val="0"/>
          <w:sz w:val="32"/>
          <w:szCs w:val="32"/>
        </w:rPr>
        <w:t>建筑中绿色建筑的比例</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（1）新建工业建筑中绿色建筑的比例</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指标解释：园区新建工业建筑中的绿色建筑是按照GB/T 50878-2013《绿色工业建筑评价标准》评价，获得二星及以上评级的工业建筑。</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计算公式：新建工业建筑中绿色建筑的比例（%）=新建工业建筑中绿色建筑的面积（m</w:t>
      </w:r>
      <w:r>
        <w:rPr>
          <w:rFonts w:ascii="Times New Roman" w:hAnsi="Times New Roman" w:eastAsia="仿宋" w:cs="宋体"/>
          <w:color w:val="000000"/>
          <w:kern w:val="0"/>
          <w:sz w:val="32"/>
          <w:szCs w:val="32"/>
          <w:vertAlign w:val="superscript"/>
        </w:rPr>
        <w:t>2</w:t>
      </w:r>
      <w:r>
        <w:rPr>
          <w:rFonts w:ascii="Times New Roman" w:hAnsi="Times New Roman" w:eastAsia="仿宋" w:cs="宋体"/>
          <w:color w:val="000000"/>
          <w:kern w:val="0"/>
          <w:sz w:val="32"/>
          <w:szCs w:val="32"/>
        </w:rPr>
        <w:t>）/园区新建工业建筑面积（m</w:t>
      </w:r>
      <w:r>
        <w:rPr>
          <w:rFonts w:ascii="Times New Roman" w:hAnsi="Times New Roman" w:eastAsia="仿宋" w:cs="宋体"/>
          <w:color w:val="000000"/>
          <w:kern w:val="0"/>
          <w:sz w:val="32"/>
          <w:szCs w:val="32"/>
          <w:vertAlign w:val="superscript"/>
        </w:rPr>
        <w:t>2</w:t>
      </w:r>
      <w:r>
        <w:rPr>
          <w:rFonts w:ascii="Times New Roman" w:hAnsi="Times New Roman" w:eastAsia="仿宋" w:cs="宋体"/>
          <w:color w:val="000000"/>
          <w:kern w:val="0"/>
          <w:sz w:val="32"/>
          <w:szCs w:val="32"/>
        </w:rPr>
        <w:t>）×100%。</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（2）</w:t>
      </w:r>
      <w:r>
        <w:rPr>
          <w:rFonts w:ascii="Times New Roman" w:hAnsi="Times New Roman" w:eastAsia="仿宋" w:cs="宋体"/>
          <w:color w:val="000000"/>
          <w:kern w:val="0"/>
          <w:sz w:val="32"/>
          <w:szCs w:val="32"/>
        </w:rPr>
        <w:t>新建公共建筑中绿色建筑的比例</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指标解释：园区新建公共建筑中的绿色建筑是按照GB/T 50378-2014 《绿色建筑评价标准》评价，获得二星及以上评级的公共建筑。</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计算公式：新建公共建筑中绿色建筑的比例（%）=新建公共建筑中绿色建筑的面积（m</w:t>
      </w:r>
      <w:r>
        <w:rPr>
          <w:rFonts w:ascii="Times New Roman" w:hAnsi="Times New Roman" w:eastAsia="仿宋" w:cs="宋体"/>
          <w:color w:val="000000"/>
          <w:kern w:val="0"/>
          <w:sz w:val="32"/>
          <w:szCs w:val="32"/>
          <w:vertAlign w:val="superscript"/>
        </w:rPr>
        <w:t>2</w:t>
      </w:r>
      <w:r>
        <w:rPr>
          <w:rFonts w:ascii="Times New Roman" w:hAnsi="Times New Roman" w:eastAsia="仿宋" w:cs="宋体"/>
          <w:color w:val="000000"/>
          <w:kern w:val="0"/>
          <w:sz w:val="32"/>
          <w:szCs w:val="32"/>
        </w:rPr>
        <w:t>）/园区新建公共建筑面积（m</w:t>
      </w:r>
      <w:r>
        <w:rPr>
          <w:rFonts w:ascii="Times New Roman" w:hAnsi="Times New Roman" w:eastAsia="仿宋" w:cs="宋体"/>
          <w:color w:val="000000"/>
          <w:kern w:val="0"/>
          <w:sz w:val="32"/>
          <w:szCs w:val="32"/>
          <w:vertAlign w:val="superscript"/>
        </w:rPr>
        <w:t>2</w:t>
      </w:r>
      <w:r>
        <w:rPr>
          <w:rFonts w:ascii="Times New Roman" w:hAnsi="Times New Roman" w:eastAsia="仿宋" w:cs="宋体"/>
          <w:color w:val="000000"/>
          <w:kern w:val="0"/>
          <w:sz w:val="32"/>
          <w:szCs w:val="32"/>
        </w:rPr>
        <w:t>）×100%。</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3</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节能与新能源公交车比例</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新能源公交车是指采用新型动力系统，完全或主要依靠新型能源驱动的公交车。非插电式混合动力公交车是指没有外接充电功能的混合动力公交车。新能源公交车和非插电式混合动力公交车合称节能与新能源公交车。</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计算公式：节能与新能源公交车比例（%）=节能与新能源公交车数量（辆）/园区公交车总量（辆）×100%。</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（四）</w:t>
      </w:r>
      <w:r>
        <w:rPr>
          <w:rFonts w:ascii="Times New Roman" w:hAnsi="Times New Roman" w:eastAsia="仿宋" w:cs="宋体"/>
          <w:color w:val="000000"/>
          <w:kern w:val="0"/>
          <w:sz w:val="32"/>
          <w:szCs w:val="32"/>
        </w:rPr>
        <w:t>产业绿色化指标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产业绿色化指标包括绿色产业增加值占园区工业增加值比例</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人均工业增加值</w:t>
      </w:r>
      <w:r>
        <w:rPr>
          <w:rFonts w:hint="eastAsia" w:ascii="Times New Roman" w:hAnsi="Times New Roman" w:eastAsia="仿宋" w:cs="宋体"/>
          <w:color w:val="000000"/>
          <w:kern w:val="0"/>
          <w:sz w:val="32"/>
          <w:szCs w:val="32"/>
        </w:rPr>
        <w:t>2</w:t>
      </w:r>
      <w:r>
        <w:rPr>
          <w:rFonts w:ascii="Times New Roman" w:hAnsi="Times New Roman" w:eastAsia="仿宋" w:cs="宋体"/>
          <w:color w:val="000000"/>
          <w:kern w:val="0"/>
          <w:sz w:val="32"/>
          <w:szCs w:val="32"/>
        </w:rPr>
        <w:t>个指标。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1</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绿色产业增加值占园区工业增加值比例</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指标解释：园区内绿色产业的增加值与园区工业增加值的比值。其中，绿色产业增加值是依据国家统计局《战略性新兴产业分类（2012</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试行</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中关于节能环保产业和新能源产业的具体分类统计得到。</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计算公式：绿色产业增加值占园区工业增加值比例（%）=绿色产业增加值（万元）/园区工业增加值（万元）×100%。</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2、</w:t>
      </w:r>
      <w:r>
        <w:rPr>
          <w:rFonts w:ascii="Times New Roman" w:hAnsi="Times New Roman" w:eastAsia="仿宋" w:cs="宋体"/>
          <w:color w:val="000000"/>
          <w:kern w:val="0"/>
          <w:sz w:val="32"/>
          <w:szCs w:val="32"/>
        </w:rPr>
        <w:t>人均工业增加值</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指标解释：园区工业增加值与园区内工业企业从业人数的比值。</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计算公式：人均工业增加值（万元/人）=园区工业增加值（万元）/园区年末工业企业从业人数（人）。</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（五）</w:t>
      </w:r>
      <w:r>
        <w:rPr>
          <w:rFonts w:ascii="Times New Roman" w:hAnsi="Times New Roman" w:eastAsia="仿宋" w:cs="宋体"/>
          <w:color w:val="000000"/>
          <w:kern w:val="0"/>
          <w:sz w:val="32"/>
          <w:szCs w:val="32"/>
        </w:rPr>
        <w:t>生态环境绿色化指标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生态环境绿色化指标包括工业固体废弃物（含危废）处置利用率、万元工业增加值碳排放量消减率、单位工业增加值废水排放量、主要污染物弹性系数、园区空气质量优良率</w:t>
      </w:r>
      <w:r>
        <w:rPr>
          <w:rFonts w:hint="eastAsia" w:ascii="Times New Roman" w:hAnsi="Times New Roman" w:eastAsia="仿宋" w:cs="宋体"/>
          <w:color w:val="000000"/>
          <w:kern w:val="0"/>
          <w:sz w:val="32"/>
          <w:szCs w:val="32"/>
        </w:rPr>
        <w:t>、绿化覆盖率</w:t>
      </w:r>
      <w:r>
        <w:rPr>
          <w:rFonts w:ascii="Times New Roman" w:hAnsi="Times New Roman" w:eastAsia="仿宋" w:cs="宋体"/>
          <w:color w:val="000000"/>
          <w:kern w:val="0"/>
          <w:sz w:val="32"/>
          <w:szCs w:val="32"/>
        </w:rPr>
        <w:t>6个指标。</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1、</w:t>
      </w:r>
      <w:r>
        <w:rPr>
          <w:rFonts w:ascii="Times New Roman" w:hAnsi="Times New Roman" w:eastAsia="仿宋" w:cs="宋体"/>
          <w:color w:val="000000"/>
          <w:kern w:val="0"/>
          <w:sz w:val="32"/>
          <w:szCs w:val="32"/>
        </w:rPr>
        <w:t>工业固体废弃物（含危废）处置利用率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指标解释：园区范围内各工业企业安全处置、综合利用及安全贮存的工业固体废物量（含危险废物）之和与当年工业固体废物总产生量的比值。</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计算公式：工业固体废弃物（含危废）处置利用率（%）=园区当年工业固体废物处置利用量（含危险废物）（t）/园区当年工业固体废物总产生量（t）×100%。</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2</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万元工业增加值碳排放量消减率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指标解释：园区内工业企业产生单位工业增加值所排放的二氧化碳当量的创建期年均消减率。创建期是指绿色园区创建周期。</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计算公式：万元工业增加值碳排放量消减率（%）=[1-（验收年单位工业增加值二氧化碳排放量</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tCO</w:t>
      </w:r>
      <w:r>
        <w:rPr>
          <w:rFonts w:ascii="Times New Roman" w:hAnsi="Times New Roman" w:eastAsia="仿宋" w:cs="宋体"/>
          <w:color w:val="000000"/>
          <w:kern w:val="0"/>
          <w:sz w:val="32"/>
          <w:szCs w:val="32"/>
          <w:vertAlign w:val="subscript"/>
        </w:rPr>
        <w:t>2</w:t>
      </w:r>
      <w:r>
        <w:rPr>
          <w:rFonts w:ascii="Times New Roman" w:hAnsi="Times New Roman" w:eastAsia="仿宋" w:cs="宋体"/>
          <w:color w:val="000000"/>
          <w:kern w:val="0"/>
          <w:sz w:val="32"/>
          <w:szCs w:val="32"/>
        </w:rPr>
        <w:t>eq./万元</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/创建基准年单位工业增加值二氧化碳排放量</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tCO</w:t>
      </w:r>
      <w:r>
        <w:rPr>
          <w:rFonts w:ascii="Times New Roman" w:hAnsi="Times New Roman" w:eastAsia="仿宋" w:cs="宋体"/>
          <w:color w:val="000000"/>
          <w:kern w:val="0"/>
          <w:sz w:val="32"/>
          <w:szCs w:val="32"/>
          <w:vertAlign w:val="subscript"/>
        </w:rPr>
        <w:t>2</w:t>
      </w:r>
      <w:r>
        <w:rPr>
          <w:rFonts w:ascii="Times New Roman" w:hAnsi="Times New Roman" w:eastAsia="仿宋" w:cs="宋体"/>
          <w:color w:val="000000"/>
          <w:kern w:val="0"/>
          <w:sz w:val="32"/>
          <w:szCs w:val="32"/>
        </w:rPr>
        <w:t>eq./万元</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w:t>
      </w:r>
      <w:r>
        <w:rPr>
          <w:rFonts w:ascii="Times New Roman" w:hAnsi="Times New Roman" w:eastAsia="仿宋" w:cs="宋体"/>
          <w:color w:val="000000"/>
          <w:kern w:val="0"/>
          <w:sz w:val="32"/>
          <w:szCs w:val="32"/>
          <w:vertAlign w:val="superscript"/>
        </w:rPr>
        <w:t>1/创建周期</w:t>
      </w:r>
      <w:r>
        <w:rPr>
          <w:rFonts w:ascii="Times New Roman" w:hAnsi="Times New Roman" w:eastAsia="仿宋" w:cs="宋体"/>
          <w:color w:val="000000"/>
          <w:kern w:val="0"/>
          <w:sz w:val="32"/>
          <w:szCs w:val="32"/>
        </w:rPr>
        <w:t>]×100%。</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3、</w:t>
      </w:r>
      <w:r>
        <w:rPr>
          <w:rFonts w:ascii="Times New Roman" w:hAnsi="Times New Roman" w:eastAsia="仿宋" w:cs="宋体"/>
          <w:color w:val="000000"/>
          <w:kern w:val="0"/>
          <w:sz w:val="32"/>
          <w:szCs w:val="32"/>
        </w:rPr>
        <w:t>单位工业增加值废水排放量</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指标解释：指园区单位工业增加值排放的工业废水量，不包括企业梯级利用的废水和园区内居民排放的生活废水。</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计算公式：单位工业增加值废水排放量（t/万元）=园区工业废水排放总量（t）/园区工业增加值总量（万元）。</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4、</w:t>
      </w:r>
      <w:r>
        <w:rPr>
          <w:rFonts w:ascii="Times New Roman" w:hAnsi="Times New Roman" w:eastAsia="仿宋" w:cs="宋体"/>
          <w:color w:val="000000"/>
          <w:kern w:val="0"/>
          <w:sz w:val="32"/>
          <w:szCs w:val="32"/>
        </w:rPr>
        <w:t>主要污染物弹性系数</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指标解释：指园区内工业企业排放的各类主要污染物排放弹性系数的算术平均值。其中，主要污染物指从创建基准年到验收年，国家政策明确要求总量减排和控制的污染物，包括COD、SO</w:t>
      </w:r>
      <w:r>
        <w:rPr>
          <w:rFonts w:ascii="Times New Roman" w:hAnsi="Times New Roman" w:eastAsia="仿宋" w:cs="宋体"/>
          <w:color w:val="000000"/>
          <w:kern w:val="0"/>
          <w:sz w:val="32"/>
          <w:szCs w:val="32"/>
          <w:vertAlign w:val="subscript"/>
        </w:rPr>
        <w:t>2</w:t>
      </w:r>
      <w:r>
        <w:rPr>
          <w:rFonts w:ascii="Times New Roman" w:hAnsi="Times New Roman" w:eastAsia="仿宋" w:cs="宋体"/>
          <w:color w:val="000000"/>
          <w:kern w:val="0"/>
          <w:sz w:val="32"/>
          <w:szCs w:val="32"/>
        </w:rPr>
        <w:t>、氨氮、NO</w:t>
      </w:r>
      <w:r>
        <w:rPr>
          <w:rFonts w:ascii="Times New Roman" w:hAnsi="Times New Roman" w:eastAsia="仿宋" w:cs="宋体"/>
          <w:color w:val="000000"/>
          <w:kern w:val="0"/>
          <w:sz w:val="32"/>
          <w:szCs w:val="32"/>
          <w:vertAlign w:val="subscript"/>
        </w:rPr>
        <w:t>X</w:t>
      </w:r>
      <w:r>
        <w:rPr>
          <w:rFonts w:ascii="Times New Roman" w:hAnsi="Times New Roman" w:eastAsia="仿宋" w:cs="宋体"/>
          <w:color w:val="000000"/>
          <w:kern w:val="0"/>
          <w:sz w:val="32"/>
          <w:szCs w:val="32"/>
        </w:rPr>
        <w:t>等。某种主要污染物排放弹性系数，指园区内工业企业排放的某一种主要污染物排放总量的三年年均增长率与工业增加值三年年均增长率的比值。</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计算公式：某种污染物排放弹性系数=某种污染物排放量创建周期年均增长率（%）/园区工业增加值创建周期年均增长率（%）；主要污染物排放弹性系数=主要污染物排放弹性系数之和/污染物个数。</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5、</w:t>
      </w:r>
      <w:r>
        <w:rPr>
          <w:rFonts w:ascii="Times New Roman" w:hAnsi="Times New Roman" w:eastAsia="仿宋" w:cs="宋体"/>
          <w:color w:val="000000"/>
          <w:kern w:val="0"/>
          <w:sz w:val="32"/>
          <w:szCs w:val="32"/>
        </w:rPr>
        <w:t>园区空气质量优良率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指标解释：指空气质量优良天数占全年天数的比例。空气质量优良等级按照GB3085《环境空气质量标准》确定。</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6、</w:t>
      </w:r>
      <w:r>
        <w:rPr>
          <w:rFonts w:ascii="Times New Roman" w:hAnsi="Times New Roman" w:eastAsia="仿宋" w:cs="宋体"/>
          <w:color w:val="000000"/>
          <w:kern w:val="0"/>
          <w:sz w:val="32"/>
          <w:szCs w:val="32"/>
        </w:rPr>
        <w:t>绿化覆盖率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指标解释：园区内各类绿地总面积与园区规划范围内用地总面积的比值。</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计算公式：绿色覆盖率（%）=园区内各类绿地总面积（m</w:t>
      </w:r>
      <w:r>
        <w:rPr>
          <w:rFonts w:ascii="Times New Roman" w:hAnsi="Times New Roman" w:eastAsia="仿宋" w:cs="宋体"/>
          <w:color w:val="000000"/>
          <w:kern w:val="0"/>
          <w:sz w:val="32"/>
          <w:szCs w:val="32"/>
          <w:vertAlign w:val="superscript"/>
        </w:rPr>
        <w:t>2</w:t>
      </w:r>
      <w:r>
        <w:rPr>
          <w:rFonts w:ascii="Times New Roman" w:hAnsi="Times New Roman" w:eastAsia="仿宋" w:cs="宋体"/>
          <w:color w:val="000000"/>
          <w:kern w:val="0"/>
          <w:sz w:val="32"/>
          <w:szCs w:val="32"/>
        </w:rPr>
        <w:t>）/园区用地总面积（m</w:t>
      </w:r>
      <w:r>
        <w:rPr>
          <w:rFonts w:ascii="Times New Roman" w:hAnsi="Times New Roman" w:eastAsia="仿宋" w:cs="宋体"/>
          <w:color w:val="000000"/>
          <w:kern w:val="0"/>
          <w:sz w:val="32"/>
          <w:szCs w:val="32"/>
          <w:vertAlign w:val="superscript"/>
        </w:rPr>
        <w:t>2</w:t>
      </w:r>
      <w:r>
        <w:rPr>
          <w:rFonts w:ascii="Times New Roman" w:hAnsi="Times New Roman" w:eastAsia="仿宋" w:cs="宋体"/>
          <w:color w:val="000000"/>
          <w:kern w:val="0"/>
          <w:sz w:val="32"/>
          <w:szCs w:val="32"/>
        </w:rPr>
        <w:t>）×100%。</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（六）</w:t>
      </w:r>
      <w:r>
        <w:rPr>
          <w:rFonts w:ascii="Times New Roman" w:hAnsi="Times New Roman" w:eastAsia="仿宋" w:cs="宋体"/>
          <w:color w:val="000000"/>
          <w:kern w:val="0"/>
          <w:sz w:val="32"/>
          <w:szCs w:val="32"/>
        </w:rPr>
        <w:t>运行管理绿色化指标</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运行管理绿色化指标包括绿色园区标准体系完善程度、编制绿色园区发展规划、绿色园区信息平台完善程度3个指标。</w:t>
      </w:r>
    </w:p>
    <w:p>
      <w:pPr>
        <w:spacing w:line="360" w:lineRule="auto"/>
        <w:ind w:firstLine="640" w:firstLineChars="200"/>
        <w:rPr>
          <w:rFonts w:ascii="Times New Roman" w:hAnsi="Times New Roman" w:eastAsia="仿宋" w:cs="宋体"/>
          <w:color w:val="000000"/>
          <w:kern w:val="0"/>
          <w:sz w:val="32"/>
          <w:szCs w:val="32"/>
        </w:rPr>
      </w:pPr>
      <w:r>
        <w:rPr>
          <w:rFonts w:hint="eastAsia" w:ascii="Times New Roman" w:hAnsi="Times New Roman" w:eastAsia="仿宋" w:cs="宋体"/>
          <w:color w:val="000000"/>
          <w:kern w:val="0"/>
          <w:sz w:val="32"/>
          <w:szCs w:val="32"/>
        </w:rPr>
        <w:t>1、</w:t>
      </w:r>
      <w:r>
        <w:rPr>
          <w:rFonts w:ascii="Times New Roman" w:hAnsi="Times New Roman" w:eastAsia="仿宋" w:cs="宋体"/>
          <w:color w:val="000000"/>
          <w:kern w:val="0"/>
          <w:sz w:val="32"/>
          <w:szCs w:val="32"/>
        </w:rPr>
        <w:t>绿色园区标准体系完善程度</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主要考核是否建立与其产业链和主导产业相适应的绿色园区标准体系，具体包括能源利用绿色化标准、资源利用绿色化标准、基础设施绿色化标准、产业绿色化标准、生态环境绿色化标准等；是否制定监管强制性绿色相关标准执行的有关制度文件；是否开展绿色相关标准的宣贯和培训等。</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2</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编制绿色园区发展规划</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指标解释：按照本实施方案的创建内容编制绿色园区发展规划，原则上每五年编制一次。</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3</w:t>
      </w:r>
      <w:r>
        <w:rPr>
          <w:rFonts w:hint="eastAsia" w:ascii="Times New Roman" w:hAnsi="Times New Roman" w:eastAsia="仿宋" w:cs="宋体"/>
          <w:color w:val="000000"/>
          <w:kern w:val="0"/>
          <w:sz w:val="32"/>
          <w:szCs w:val="32"/>
        </w:rPr>
        <w:t>、</w:t>
      </w:r>
      <w:r>
        <w:rPr>
          <w:rFonts w:ascii="Times New Roman" w:hAnsi="Times New Roman" w:eastAsia="仿宋" w:cs="宋体"/>
          <w:color w:val="000000"/>
          <w:kern w:val="0"/>
          <w:sz w:val="32"/>
          <w:szCs w:val="32"/>
        </w:rPr>
        <w:t>绿色园区信息平台完善程度</w:t>
      </w:r>
    </w:p>
    <w:p>
      <w:pPr>
        <w:spacing w:line="360" w:lineRule="auto"/>
        <w:ind w:firstLine="640" w:firstLineChars="200"/>
        <w:rPr>
          <w:rFonts w:ascii="Times New Roman" w:hAnsi="Times New Roman" w:eastAsia="仿宋" w:cs="宋体"/>
          <w:color w:val="000000"/>
          <w:kern w:val="0"/>
          <w:sz w:val="32"/>
          <w:szCs w:val="32"/>
        </w:rPr>
      </w:pPr>
      <w:r>
        <w:rPr>
          <w:rFonts w:ascii="Times New Roman" w:hAnsi="Times New Roman" w:eastAsia="仿宋" w:cs="宋体"/>
          <w:color w:val="000000"/>
          <w:kern w:val="0"/>
          <w:sz w:val="32"/>
          <w:szCs w:val="32"/>
        </w:rPr>
        <w:t>指标解释：主要考核是否创建局域网；是否定期在园区管委会网站、局域网或相关网站上发布绿色园区建设和改造信息；是否在园区局域网上有园区主导行业清洁生产技术信息（主要包括原材料选择、节水、节能、环保等方面）、废物资源化技术信息、绿色建筑技术信息、绿色交通技术信息等。</w:t>
      </w:r>
    </w:p>
    <w:p>
      <w:pPr>
        <w:widowControl/>
        <w:spacing w:line="360" w:lineRule="auto"/>
        <w:ind w:firstLine="640" w:firstLineChars="200"/>
        <w:rPr>
          <w:rFonts w:ascii="Times New Roman" w:hAnsi="Times New Roman" w:eastAsia="仿宋" w:cs="宋体"/>
          <w:color w:val="000000"/>
          <w:kern w:val="0"/>
          <w:sz w:val="32"/>
          <w:szCs w:val="32"/>
        </w:rPr>
      </w:pPr>
    </w:p>
    <w:sectPr>
      <w:pgSz w:w="11906" w:h="16838"/>
      <w:pgMar w:top="2098" w:right="1474" w:bottom="1814" w:left="158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 w:name="创艺简标宋">
    <w:altName w:val="方正小标宋简体"/>
    <w:panose1 w:val="00000000000000000000"/>
    <w:charset w:val="86"/>
    <w:family w:val="auto"/>
    <w:pitch w:val="default"/>
    <w:sig w:usb0="00000000" w:usb1="00000000" w:usb2="00000010" w:usb3="00000000" w:csb0="00040000" w:csb1="00000000"/>
  </w:font>
  <w:font w:name="方正小标宋简体">
    <w:panose1 w:val="02000000000000000000"/>
    <w:charset w:val="86"/>
    <w:family w:val="auto"/>
    <w:pitch w:val="default"/>
    <w:sig w:usb0="A00002BF" w:usb1="184F6CFA" w:usb2="00000012" w:usb3="00000000" w:csb0="00040001" w:csb1="00000000"/>
  </w:font>
  <w:font w:name="楷体_GB2312">
    <w:altName w:val="楷体"/>
    <w:panose1 w:val="00000000000000000000"/>
    <w:charset w:val="86"/>
    <w:family w:val="modern"/>
    <w:pitch w:val="default"/>
    <w:sig w:usb0="00000000" w:usb1="00000000" w:usb2="00000010" w:usb3="00000000" w:csb0="00040000" w:csb1="00000000"/>
  </w:font>
  <w:font w:name="Helvetica Neue">
    <w:altName w:val="DejaVu Math TeX Gyre"/>
    <w:panose1 w:val="00000000000000000000"/>
    <w:charset w:val="00"/>
    <w:family w:val="auto"/>
    <w:pitch w:val="default"/>
    <w:sig w:usb0="00000000" w:usb1="00000000" w:usb2="00000000" w:usb3="00000000" w:csb0="00000001" w:csb1="00000000"/>
  </w:font>
  <w:font w:name="??_GB2312">
    <w:altName w:val="DejaVu Math TeX Gyre"/>
    <w:panose1 w:val="00000000000000000000"/>
    <w:charset w:val="00"/>
    <w:family w:val="auto"/>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 w:name="微软雅黑">
    <w:altName w:val="黑体"/>
    <w:panose1 w:val="020B0503020204020204"/>
    <w:charset w:val="86"/>
    <w:family w:val="swiss"/>
    <w:pitch w:val="default"/>
    <w:sig w:usb0="00000000" w:usb1="00000000" w:usb2="00000016" w:usb3="00000000" w:csb0="0004001F"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NotTrackMoves/>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7F21CA"/>
    <w:rsid w:val="00003E5B"/>
    <w:rsid w:val="00007DDE"/>
    <w:rsid w:val="000224FA"/>
    <w:rsid w:val="00054B87"/>
    <w:rsid w:val="0005610F"/>
    <w:rsid w:val="00095AF2"/>
    <w:rsid w:val="001127AE"/>
    <w:rsid w:val="00152611"/>
    <w:rsid w:val="001723CC"/>
    <w:rsid w:val="001747B4"/>
    <w:rsid w:val="0018194A"/>
    <w:rsid w:val="00186951"/>
    <w:rsid w:val="001A0EDE"/>
    <w:rsid w:val="001A76B4"/>
    <w:rsid w:val="001B2BD2"/>
    <w:rsid w:val="001D4A33"/>
    <w:rsid w:val="001F6C9C"/>
    <w:rsid w:val="00210BF3"/>
    <w:rsid w:val="00211934"/>
    <w:rsid w:val="00254CC5"/>
    <w:rsid w:val="00276366"/>
    <w:rsid w:val="002D271C"/>
    <w:rsid w:val="002E1624"/>
    <w:rsid w:val="002E78A6"/>
    <w:rsid w:val="002F66E3"/>
    <w:rsid w:val="003304A7"/>
    <w:rsid w:val="00335565"/>
    <w:rsid w:val="00361D5A"/>
    <w:rsid w:val="00364279"/>
    <w:rsid w:val="003C7735"/>
    <w:rsid w:val="003D7458"/>
    <w:rsid w:val="003F771E"/>
    <w:rsid w:val="0040224E"/>
    <w:rsid w:val="00454367"/>
    <w:rsid w:val="00475C8B"/>
    <w:rsid w:val="004771EF"/>
    <w:rsid w:val="004B7342"/>
    <w:rsid w:val="004C5950"/>
    <w:rsid w:val="004E0156"/>
    <w:rsid w:val="004F5072"/>
    <w:rsid w:val="0050686A"/>
    <w:rsid w:val="00512B73"/>
    <w:rsid w:val="005364A1"/>
    <w:rsid w:val="00573A4F"/>
    <w:rsid w:val="005B4E80"/>
    <w:rsid w:val="005D5A9F"/>
    <w:rsid w:val="005E6E3D"/>
    <w:rsid w:val="005F3D75"/>
    <w:rsid w:val="005F6AFC"/>
    <w:rsid w:val="0061471E"/>
    <w:rsid w:val="006257D1"/>
    <w:rsid w:val="00626DF1"/>
    <w:rsid w:val="006312AE"/>
    <w:rsid w:val="00685230"/>
    <w:rsid w:val="0069409D"/>
    <w:rsid w:val="006A1750"/>
    <w:rsid w:val="006A3D58"/>
    <w:rsid w:val="006E4855"/>
    <w:rsid w:val="006E52C0"/>
    <w:rsid w:val="006F37A4"/>
    <w:rsid w:val="00741154"/>
    <w:rsid w:val="00754AAD"/>
    <w:rsid w:val="007D322B"/>
    <w:rsid w:val="007F21CA"/>
    <w:rsid w:val="008550F1"/>
    <w:rsid w:val="00865CE8"/>
    <w:rsid w:val="00872BAF"/>
    <w:rsid w:val="00895AE3"/>
    <w:rsid w:val="008F4E48"/>
    <w:rsid w:val="008F6A63"/>
    <w:rsid w:val="00902AB3"/>
    <w:rsid w:val="009168F2"/>
    <w:rsid w:val="00953C93"/>
    <w:rsid w:val="009B7AB5"/>
    <w:rsid w:val="009E0C0F"/>
    <w:rsid w:val="00A479C6"/>
    <w:rsid w:val="00AA56A6"/>
    <w:rsid w:val="00B749C5"/>
    <w:rsid w:val="00BA5398"/>
    <w:rsid w:val="00BB0EEC"/>
    <w:rsid w:val="00BC532E"/>
    <w:rsid w:val="00C337FC"/>
    <w:rsid w:val="00C52D26"/>
    <w:rsid w:val="00C646A0"/>
    <w:rsid w:val="00C772C3"/>
    <w:rsid w:val="00CB10C2"/>
    <w:rsid w:val="00CE38EC"/>
    <w:rsid w:val="00D54EFD"/>
    <w:rsid w:val="00D6256F"/>
    <w:rsid w:val="00E01AF5"/>
    <w:rsid w:val="00E80666"/>
    <w:rsid w:val="00E929C3"/>
    <w:rsid w:val="00E956BE"/>
    <w:rsid w:val="00EA484C"/>
    <w:rsid w:val="00EE4A20"/>
    <w:rsid w:val="00EF3A80"/>
    <w:rsid w:val="00F128AA"/>
    <w:rsid w:val="00F2510D"/>
    <w:rsid w:val="00F27494"/>
    <w:rsid w:val="00F72A9B"/>
    <w:rsid w:val="00F7791F"/>
    <w:rsid w:val="00F80EFC"/>
    <w:rsid w:val="00FC6F02"/>
    <w:rsid w:val="07E7D693"/>
    <w:rsid w:val="157FCDB1"/>
    <w:rsid w:val="15EB3135"/>
    <w:rsid w:val="15FF38F2"/>
    <w:rsid w:val="164F1495"/>
    <w:rsid w:val="177FD2A3"/>
    <w:rsid w:val="1B9F78A8"/>
    <w:rsid w:val="1CFE7C17"/>
    <w:rsid w:val="1EDF000B"/>
    <w:rsid w:val="1EF7A981"/>
    <w:rsid w:val="1EFF1030"/>
    <w:rsid w:val="1F4EDF1D"/>
    <w:rsid w:val="23AFC7D9"/>
    <w:rsid w:val="27FEB1DE"/>
    <w:rsid w:val="2C5AF534"/>
    <w:rsid w:val="2F743D70"/>
    <w:rsid w:val="2FBD518C"/>
    <w:rsid w:val="2FEB8B20"/>
    <w:rsid w:val="33EDAAE7"/>
    <w:rsid w:val="35AB90A3"/>
    <w:rsid w:val="35FF4F13"/>
    <w:rsid w:val="36BD17DF"/>
    <w:rsid w:val="37F935EF"/>
    <w:rsid w:val="37FFEA8D"/>
    <w:rsid w:val="3AE7D9E9"/>
    <w:rsid w:val="3AEE3314"/>
    <w:rsid w:val="3AFBDB50"/>
    <w:rsid w:val="3B5D0DDA"/>
    <w:rsid w:val="3B9F3FAE"/>
    <w:rsid w:val="3BDEA1D3"/>
    <w:rsid w:val="3D3757E6"/>
    <w:rsid w:val="3D7B7DA4"/>
    <w:rsid w:val="3D7F477E"/>
    <w:rsid w:val="3EAFA35D"/>
    <w:rsid w:val="3EB78CAA"/>
    <w:rsid w:val="3EBB9FAE"/>
    <w:rsid w:val="3EBD02F7"/>
    <w:rsid w:val="3EBEA401"/>
    <w:rsid w:val="3EF75AD8"/>
    <w:rsid w:val="3EFACADE"/>
    <w:rsid w:val="3F6FCCD4"/>
    <w:rsid w:val="3F76306B"/>
    <w:rsid w:val="3F8F2207"/>
    <w:rsid w:val="3F9BD089"/>
    <w:rsid w:val="3FC16CEB"/>
    <w:rsid w:val="3FDD6C10"/>
    <w:rsid w:val="436FF342"/>
    <w:rsid w:val="43DFAEA9"/>
    <w:rsid w:val="47AA5552"/>
    <w:rsid w:val="499FF176"/>
    <w:rsid w:val="4A6F1338"/>
    <w:rsid w:val="4BBF86D9"/>
    <w:rsid w:val="4BE26369"/>
    <w:rsid w:val="4C8FC2EF"/>
    <w:rsid w:val="4EED58E5"/>
    <w:rsid w:val="4F7C03B8"/>
    <w:rsid w:val="4F9C8896"/>
    <w:rsid w:val="4FE5A9A4"/>
    <w:rsid w:val="4FF602A7"/>
    <w:rsid w:val="537F9B90"/>
    <w:rsid w:val="53FAA19B"/>
    <w:rsid w:val="545F0445"/>
    <w:rsid w:val="55F979CA"/>
    <w:rsid w:val="56EDA4D5"/>
    <w:rsid w:val="577A3A96"/>
    <w:rsid w:val="57DD3CE4"/>
    <w:rsid w:val="57F735E4"/>
    <w:rsid w:val="57FFDD0D"/>
    <w:rsid w:val="59FEB342"/>
    <w:rsid w:val="5AEF275D"/>
    <w:rsid w:val="5B579AFC"/>
    <w:rsid w:val="5CEF3AB6"/>
    <w:rsid w:val="5DFEBF30"/>
    <w:rsid w:val="5E7704F6"/>
    <w:rsid w:val="5E7F28A8"/>
    <w:rsid w:val="5EBF4530"/>
    <w:rsid w:val="5EDBEC52"/>
    <w:rsid w:val="5EFDDB3C"/>
    <w:rsid w:val="5F5D4D54"/>
    <w:rsid w:val="5F7D25A1"/>
    <w:rsid w:val="5F7FFF40"/>
    <w:rsid w:val="5FBEAC75"/>
    <w:rsid w:val="5FDF15F4"/>
    <w:rsid w:val="5FEB628B"/>
    <w:rsid w:val="5FEFFDB1"/>
    <w:rsid w:val="5FF56370"/>
    <w:rsid w:val="5FFB93C4"/>
    <w:rsid w:val="5FFF318A"/>
    <w:rsid w:val="617F7A87"/>
    <w:rsid w:val="62D35635"/>
    <w:rsid w:val="633C4D64"/>
    <w:rsid w:val="64363B46"/>
    <w:rsid w:val="65C7FE0F"/>
    <w:rsid w:val="66FDD8A1"/>
    <w:rsid w:val="67BBE631"/>
    <w:rsid w:val="67EE21C2"/>
    <w:rsid w:val="6AB98C0F"/>
    <w:rsid w:val="6D4F024C"/>
    <w:rsid w:val="6DEEE69D"/>
    <w:rsid w:val="6DF573FB"/>
    <w:rsid w:val="6E3E48A8"/>
    <w:rsid w:val="6E77D7C9"/>
    <w:rsid w:val="6EAFC893"/>
    <w:rsid w:val="6EDF3422"/>
    <w:rsid w:val="6EFFBE36"/>
    <w:rsid w:val="6F179B8B"/>
    <w:rsid w:val="6FEDAF89"/>
    <w:rsid w:val="6FEE2EAC"/>
    <w:rsid w:val="6FF3C6EA"/>
    <w:rsid w:val="6FF51F74"/>
    <w:rsid w:val="6FFD3068"/>
    <w:rsid w:val="72ABC566"/>
    <w:rsid w:val="736D9DF6"/>
    <w:rsid w:val="737EB5BE"/>
    <w:rsid w:val="73F706A8"/>
    <w:rsid w:val="73FEF2E2"/>
    <w:rsid w:val="743B30D7"/>
    <w:rsid w:val="74A18D36"/>
    <w:rsid w:val="75AF8A1D"/>
    <w:rsid w:val="75CF688E"/>
    <w:rsid w:val="75FB5B9A"/>
    <w:rsid w:val="75FD2687"/>
    <w:rsid w:val="75FF13E9"/>
    <w:rsid w:val="766E16AB"/>
    <w:rsid w:val="7755B8E8"/>
    <w:rsid w:val="775F03C7"/>
    <w:rsid w:val="777AEC8E"/>
    <w:rsid w:val="777BA85A"/>
    <w:rsid w:val="77CF620D"/>
    <w:rsid w:val="77DF0644"/>
    <w:rsid w:val="77DF40E9"/>
    <w:rsid w:val="77E1C2A7"/>
    <w:rsid w:val="77F8D255"/>
    <w:rsid w:val="77FBB9E0"/>
    <w:rsid w:val="77FCFD68"/>
    <w:rsid w:val="77FDDA59"/>
    <w:rsid w:val="77FDEC76"/>
    <w:rsid w:val="78F88680"/>
    <w:rsid w:val="7979D777"/>
    <w:rsid w:val="79B0B21B"/>
    <w:rsid w:val="7A3B69F3"/>
    <w:rsid w:val="7A4FF0E7"/>
    <w:rsid w:val="7A6FDEE8"/>
    <w:rsid w:val="7AE681D3"/>
    <w:rsid w:val="7AF7C81D"/>
    <w:rsid w:val="7AF7F6F0"/>
    <w:rsid w:val="7B0F41EE"/>
    <w:rsid w:val="7B0FDA47"/>
    <w:rsid w:val="7B5AE92B"/>
    <w:rsid w:val="7B5BD0B2"/>
    <w:rsid w:val="7B5DA148"/>
    <w:rsid w:val="7B5F8C06"/>
    <w:rsid w:val="7B73833D"/>
    <w:rsid w:val="7B9F9BC2"/>
    <w:rsid w:val="7BB47651"/>
    <w:rsid w:val="7BB79E37"/>
    <w:rsid w:val="7BBD4A6B"/>
    <w:rsid w:val="7BDE8A29"/>
    <w:rsid w:val="7BDEC59E"/>
    <w:rsid w:val="7BF38503"/>
    <w:rsid w:val="7BF5B9F3"/>
    <w:rsid w:val="7BF742D6"/>
    <w:rsid w:val="7BFBCB54"/>
    <w:rsid w:val="7BFF121B"/>
    <w:rsid w:val="7CFF1C06"/>
    <w:rsid w:val="7D1C33DE"/>
    <w:rsid w:val="7D6FE42A"/>
    <w:rsid w:val="7D7FEF96"/>
    <w:rsid w:val="7D97111F"/>
    <w:rsid w:val="7DBEB832"/>
    <w:rsid w:val="7DC301E2"/>
    <w:rsid w:val="7DDF7BF2"/>
    <w:rsid w:val="7DE88F91"/>
    <w:rsid w:val="7DFF091B"/>
    <w:rsid w:val="7E3F9671"/>
    <w:rsid w:val="7E773CDB"/>
    <w:rsid w:val="7E7B35CE"/>
    <w:rsid w:val="7EEB2630"/>
    <w:rsid w:val="7EF75F90"/>
    <w:rsid w:val="7EFCBFD1"/>
    <w:rsid w:val="7EFDC8DC"/>
    <w:rsid w:val="7EFDCBC7"/>
    <w:rsid w:val="7EFF2D50"/>
    <w:rsid w:val="7F2A3B86"/>
    <w:rsid w:val="7F2E916A"/>
    <w:rsid w:val="7F336310"/>
    <w:rsid w:val="7F3CB16D"/>
    <w:rsid w:val="7F64B744"/>
    <w:rsid w:val="7F7E9F96"/>
    <w:rsid w:val="7F868E0C"/>
    <w:rsid w:val="7F9EFEC1"/>
    <w:rsid w:val="7F9F3E8F"/>
    <w:rsid w:val="7F9FBC2A"/>
    <w:rsid w:val="7FABB9F3"/>
    <w:rsid w:val="7FAF93AB"/>
    <w:rsid w:val="7FBAC0B4"/>
    <w:rsid w:val="7FBB0ED4"/>
    <w:rsid w:val="7FBB5424"/>
    <w:rsid w:val="7FBDE50B"/>
    <w:rsid w:val="7FBED362"/>
    <w:rsid w:val="7FCFEDF1"/>
    <w:rsid w:val="7FD60DAE"/>
    <w:rsid w:val="7FDF8897"/>
    <w:rsid w:val="7FDF9B26"/>
    <w:rsid w:val="7FE781C1"/>
    <w:rsid w:val="7FEE0BDE"/>
    <w:rsid w:val="7FEF87D6"/>
    <w:rsid w:val="7FF2BAE1"/>
    <w:rsid w:val="7FF33BBF"/>
    <w:rsid w:val="7FF38A73"/>
    <w:rsid w:val="7FF7565E"/>
    <w:rsid w:val="7FF76FDA"/>
    <w:rsid w:val="7FF7DCA6"/>
    <w:rsid w:val="7FFBCE48"/>
    <w:rsid w:val="7FFBE788"/>
    <w:rsid w:val="7FFC2922"/>
    <w:rsid w:val="7FFCDDB3"/>
    <w:rsid w:val="7FFD1565"/>
    <w:rsid w:val="7FFDF9CE"/>
    <w:rsid w:val="7FFF3723"/>
    <w:rsid w:val="7FFF3DD6"/>
    <w:rsid w:val="7FFF6405"/>
    <w:rsid w:val="8BEF298E"/>
    <w:rsid w:val="8DDC0EA2"/>
    <w:rsid w:val="8EDFC697"/>
    <w:rsid w:val="8FFD3A3C"/>
    <w:rsid w:val="92F5AF4C"/>
    <w:rsid w:val="93B3C9A9"/>
    <w:rsid w:val="995BCDC7"/>
    <w:rsid w:val="9CB85532"/>
    <w:rsid w:val="9D3E8163"/>
    <w:rsid w:val="9D7FD296"/>
    <w:rsid w:val="9DDDB62B"/>
    <w:rsid w:val="9E7D255A"/>
    <w:rsid w:val="9F7F1262"/>
    <w:rsid w:val="9FCFEFE3"/>
    <w:rsid w:val="9FDB4485"/>
    <w:rsid w:val="9FDEE370"/>
    <w:rsid w:val="9FEB4A98"/>
    <w:rsid w:val="9FFF70D2"/>
    <w:rsid w:val="A3BDBEFC"/>
    <w:rsid w:val="A7BE3FD3"/>
    <w:rsid w:val="ABDF3A54"/>
    <w:rsid w:val="AD1B0403"/>
    <w:rsid w:val="ADFBE52C"/>
    <w:rsid w:val="AFBEDD44"/>
    <w:rsid w:val="AFD67E67"/>
    <w:rsid w:val="AFFFF469"/>
    <w:rsid w:val="B1771EFA"/>
    <w:rsid w:val="B3FF8C3F"/>
    <w:rsid w:val="B7B2921D"/>
    <w:rsid w:val="B7CF2BA2"/>
    <w:rsid w:val="B7FBB179"/>
    <w:rsid w:val="B8FD223E"/>
    <w:rsid w:val="B9AEACB7"/>
    <w:rsid w:val="BBBEC802"/>
    <w:rsid w:val="BD2D65DE"/>
    <w:rsid w:val="BEEA323E"/>
    <w:rsid w:val="BEFBCD8C"/>
    <w:rsid w:val="BF23F906"/>
    <w:rsid w:val="BF3F7561"/>
    <w:rsid w:val="BF55D01F"/>
    <w:rsid w:val="BFCFE205"/>
    <w:rsid w:val="BFDB6031"/>
    <w:rsid w:val="BFED6DCD"/>
    <w:rsid w:val="BFF714D3"/>
    <w:rsid w:val="BFFF2E0A"/>
    <w:rsid w:val="BFFFCF66"/>
    <w:rsid w:val="BFFFDBAE"/>
    <w:rsid w:val="BFFFEE5A"/>
    <w:rsid w:val="C1E90E4A"/>
    <w:rsid w:val="C7EED084"/>
    <w:rsid w:val="CA16D769"/>
    <w:rsid w:val="CB7C9CC3"/>
    <w:rsid w:val="CDD7D354"/>
    <w:rsid w:val="CEB5DD83"/>
    <w:rsid w:val="CEEE5085"/>
    <w:rsid w:val="CEF58C51"/>
    <w:rsid w:val="CEF84FBE"/>
    <w:rsid w:val="CF5F9910"/>
    <w:rsid w:val="CF7F2371"/>
    <w:rsid w:val="CF7F7A4B"/>
    <w:rsid w:val="CFFC47D0"/>
    <w:rsid w:val="CFFE79E7"/>
    <w:rsid w:val="D4BB0102"/>
    <w:rsid w:val="D76F7531"/>
    <w:rsid w:val="D9AF6405"/>
    <w:rsid w:val="DAFF3062"/>
    <w:rsid w:val="DB3F3B14"/>
    <w:rsid w:val="DBF79BC3"/>
    <w:rsid w:val="DBF9C7D9"/>
    <w:rsid w:val="DBFB5B6F"/>
    <w:rsid w:val="DBFFC49E"/>
    <w:rsid w:val="DDBE5C5B"/>
    <w:rsid w:val="DDF9751B"/>
    <w:rsid w:val="DEF4B7A9"/>
    <w:rsid w:val="DF1DDFA9"/>
    <w:rsid w:val="DF5F60B0"/>
    <w:rsid w:val="DF7F7D99"/>
    <w:rsid w:val="DFBEAE8E"/>
    <w:rsid w:val="DFE7F03F"/>
    <w:rsid w:val="DFFD8289"/>
    <w:rsid w:val="DFFD964F"/>
    <w:rsid w:val="DFFFEA07"/>
    <w:rsid w:val="E25E15DD"/>
    <w:rsid w:val="E3FF1050"/>
    <w:rsid w:val="E59FACEC"/>
    <w:rsid w:val="E5C75A2D"/>
    <w:rsid w:val="E6BDF8C1"/>
    <w:rsid w:val="E7CF2CF9"/>
    <w:rsid w:val="E7D24A45"/>
    <w:rsid w:val="E8F7E4F8"/>
    <w:rsid w:val="E97FB374"/>
    <w:rsid w:val="E9EE8CF7"/>
    <w:rsid w:val="EAAC2987"/>
    <w:rsid w:val="EABE10D8"/>
    <w:rsid w:val="EAFB61A9"/>
    <w:rsid w:val="EB2B18EB"/>
    <w:rsid w:val="EB6F51EB"/>
    <w:rsid w:val="EB7744FB"/>
    <w:rsid w:val="EB79E592"/>
    <w:rsid w:val="EBD54993"/>
    <w:rsid w:val="EBFE5541"/>
    <w:rsid w:val="EDED8F25"/>
    <w:rsid w:val="EDF45CD4"/>
    <w:rsid w:val="EDFF5858"/>
    <w:rsid w:val="EEF37E0F"/>
    <w:rsid w:val="EEFFD90A"/>
    <w:rsid w:val="EF5E3BB7"/>
    <w:rsid w:val="EF760011"/>
    <w:rsid w:val="EF9D7BC4"/>
    <w:rsid w:val="EFBEE12F"/>
    <w:rsid w:val="EFF639D4"/>
    <w:rsid w:val="EFFBD83D"/>
    <w:rsid w:val="EFFD2DC9"/>
    <w:rsid w:val="EFFDFEDB"/>
    <w:rsid w:val="EFFEF3D2"/>
    <w:rsid w:val="EFFF76D4"/>
    <w:rsid w:val="F1BBF128"/>
    <w:rsid w:val="F1FF0FBF"/>
    <w:rsid w:val="F37F270D"/>
    <w:rsid w:val="F39BCDF8"/>
    <w:rsid w:val="F3D8DC51"/>
    <w:rsid w:val="F3D9BB4A"/>
    <w:rsid w:val="F3DECA9A"/>
    <w:rsid w:val="F4B671A5"/>
    <w:rsid w:val="F4FDCAA2"/>
    <w:rsid w:val="F5632FC5"/>
    <w:rsid w:val="F57706E5"/>
    <w:rsid w:val="F6BDFDFA"/>
    <w:rsid w:val="F6DB375D"/>
    <w:rsid w:val="F6DD729B"/>
    <w:rsid w:val="F6F78DE8"/>
    <w:rsid w:val="F7790843"/>
    <w:rsid w:val="F79D50A2"/>
    <w:rsid w:val="F7A550F6"/>
    <w:rsid w:val="F7A7065C"/>
    <w:rsid w:val="F7BC4B99"/>
    <w:rsid w:val="F7CE6F55"/>
    <w:rsid w:val="F7EF197F"/>
    <w:rsid w:val="F7FB16CD"/>
    <w:rsid w:val="F7FFF4F4"/>
    <w:rsid w:val="F96D6FC2"/>
    <w:rsid w:val="F9BA1773"/>
    <w:rsid w:val="F9F7F886"/>
    <w:rsid w:val="FA7F3FA4"/>
    <w:rsid w:val="FA9F5952"/>
    <w:rsid w:val="FAE66EAB"/>
    <w:rsid w:val="FAEFC0D3"/>
    <w:rsid w:val="FB735728"/>
    <w:rsid w:val="FB7F1E96"/>
    <w:rsid w:val="FBDBDFEF"/>
    <w:rsid w:val="FBE7AF64"/>
    <w:rsid w:val="FBE99EEF"/>
    <w:rsid w:val="FBEBEDE1"/>
    <w:rsid w:val="FBF78C89"/>
    <w:rsid w:val="FBF9B619"/>
    <w:rsid w:val="FBFBA521"/>
    <w:rsid w:val="FBFE5CB7"/>
    <w:rsid w:val="FBFE65F7"/>
    <w:rsid w:val="FBFF01B5"/>
    <w:rsid w:val="FBFFC913"/>
    <w:rsid w:val="FCBB30A8"/>
    <w:rsid w:val="FD53E24D"/>
    <w:rsid w:val="FD6F68E4"/>
    <w:rsid w:val="FD7B5215"/>
    <w:rsid w:val="FDC34CCC"/>
    <w:rsid w:val="FDDE2135"/>
    <w:rsid w:val="FDDF932E"/>
    <w:rsid w:val="FDED93C6"/>
    <w:rsid w:val="FE368E18"/>
    <w:rsid w:val="FE3F2352"/>
    <w:rsid w:val="FE73202F"/>
    <w:rsid w:val="FEBE71A1"/>
    <w:rsid w:val="FEEADE92"/>
    <w:rsid w:val="FEFC7040"/>
    <w:rsid w:val="FEFE94CE"/>
    <w:rsid w:val="FEFFA0BB"/>
    <w:rsid w:val="FEFFFFFE"/>
    <w:rsid w:val="FF1E83F5"/>
    <w:rsid w:val="FF3B9AE4"/>
    <w:rsid w:val="FF47C58A"/>
    <w:rsid w:val="FF58B72A"/>
    <w:rsid w:val="FF5F62AA"/>
    <w:rsid w:val="FF6BE8A5"/>
    <w:rsid w:val="FF717407"/>
    <w:rsid w:val="FF788520"/>
    <w:rsid w:val="FF7BC6B0"/>
    <w:rsid w:val="FF7D2214"/>
    <w:rsid w:val="FF7E6F31"/>
    <w:rsid w:val="FF9F12B0"/>
    <w:rsid w:val="FFBFF86B"/>
    <w:rsid w:val="FFBFFC7B"/>
    <w:rsid w:val="FFC10B52"/>
    <w:rsid w:val="FFDECAFA"/>
    <w:rsid w:val="FFDFB05A"/>
    <w:rsid w:val="FFDFEDC8"/>
    <w:rsid w:val="FFE7978F"/>
    <w:rsid w:val="FFEF70D8"/>
    <w:rsid w:val="FFEFDC72"/>
    <w:rsid w:val="FFF3409B"/>
    <w:rsid w:val="FFFF5720"/>
    <w:rsid w:val="FFFF66EA"/>
    <w:rsid w:val="FFFFE01E"/>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9"/>
    <w:qFormat/>
    <w:uiPriority w:val="99"/>
    <w:pPr>
      <w:tabs>
        <w:tab w:val="center" w:pos="4153"/>
        <w:tab w:val="right" w:pos="8306"/>
      </w:tabs>
      <w:snapToGrid w:val="0"/>
      <w:jc w:val="left"/>
    </w:pPr>
    <w:rPr>
      <w:sz w:val="18"/>
      <w:szCs w:val="18"/>
    </w:rPr>
  </w:style>
  <w:style w:type="paragraph" w:styleId="3">
    <w:name w:val="header"/>
    <w:basedOn w:val="1"/>
    <w:link w:val="8"/>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qFormat/>
    <w:uiPriority w:val="99"/>
    <w:pPr>
      <w:spacing w:before="100" w:beforeAutospacing="1" w:after="100" w:afterAutospacing="1"/>
      <w:jc w:val="left"/>
    </w:pPr>
    <w:rPr>
      <w:kern w:val="0"/>
      <w:sz w:val="24"/>
      <w:szCs w:val="24"/>
    </w:rPr>
  </w:style>
  <w:style w:type="table" w:styleId="6">
    <w:name w:val="Table Grid"/>
    <w:basedOn w:val="5"/>
    <w:qFormat/>
    <w:locked/>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8">
    <w:name w:val="页眉 字符"/>
    <w:link w:val="3"/>
    <w:qFormat/>
    <w:locked/>
    <w:uiPriority w:val="99"/>
    <w:rPr>
      <w:rFonts w:cs="Times New Roman"/>
      <w:sz w:val="18"/>
      <w:szCs w:val="18"/>
    </w:rPr>
  </w:style>
  <w:style w:type="character" w:customStyle="1" w:styleId="9">
    <w:name w:val="页脚 字符"/>
    <w:link w:val="2"/>
    <w:qFormat/>
    <w:locked/>
    <w:uiPriority w:val="99"/>
    <w:rPr>
      <w:rFonts w:cs="Times New Roman"/>
      <w:sz w:val="18"/>
      <w:szCs w:val="18"/>
    </w:rPr>
  </w:style>
  <w:style w:type="paragraph" w:customStyle="1" w:styleId="10">
    <w:name w:val="列出段落1"/>
    <w:basedOn w:val="1"/>
    <w:qFormat/>
    <w:uiPriority w:val="0"/>
    <w:pPr>
      <w:ind w:firstLine="420" w:firstLineChars="200"/>
    </w:pPr>
  </w:style>
  <w:style w:type="paragraph" w:customStyle="1" w:styleId="11">
    <w:name w:val="段"/>
    <w:link w:val="12"/>
    <w:qFormat/>
    <w:uiPriority w:val="0"/>
    <w:pPr>
      <w:tabs>
        <w:tab w:val="center" w:pos="4201"/>
        <w:tab w:val="right" w:leader="dot" w:pos="9298"/>
      </w:tabs>
      <w:autoSpaceDE w:val="0"/>
      <w:autoSpaceDN w:val="0"/>
      <w:ind w:firstLine="420" w:firstLineChars="200"/>
      <w:jc w:val="both"/>
    </w:pPr>
    <w:rPr>
      <w:rFonts w:ascii="宋体" w:hAnsi="Times New Roman" w:eastAsia="宋体" w:cs="Times New Roman"/>
      <w:sz w:val="21"/>
      <w:lang w:val="en-US" w:eastAsia="zh-CN" w:bidi="ar-SA"/>
    </w:rPr>
  </w:style>
  <w:style w:type="character" w:customStyle="1" w:styleId="12">
    <w:name w:val="段 Char"/>
    <w:link w:val="11"/>
    <w:qFormat/>
    <w:uiPriority w:val="0"/>
    <w:rPr>
      <w:rFonts w:ascii="宋体" w:hAnsi="Times New Roman"/>
      <w:sz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china</Company>
  <Pages>16</Pages>
  <Words>980</Words>
  <Characters>5591</Characters>
  <Lines>46</Lines>
  <Paragraphs>13</Paragraphs>
  <TotalTime>119</TotalTime>
  <ScaleCrop>false</ScaleCrop>
  <LinksUpToDate>false</LinksUpToDate>
  <CharactersWithSpaces>6558</CharactersWithSpaces>
  <Application>WPS Office_11.8.2.10605_F1E327BC-269C-435d-A152-05C5408002CA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2017-08-25T09:31:00Z</dcterms:created>
  <dc:creator>Administrator</dc:creator>
  <cp:lastModifiedBy> </cp:lastModifiedBy>
  <cp:lastPrinted>2024-01-12T10:03:24Z</cp:lastPrinted>
  <dcterms:modified xsi:type="dcterms:W3CDTF">2024-01-12T10:03:26Z</dcterms:modified>
  <cp:revision>50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2052-11.8.2.10605</vt:lpwstr>
  </property>
</Properties>
</file>